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9CF" w:rsidRDefault="001F79CF" w:rsidP="001F79CF">
      <w:pPr>
        <w:bidi/>
        <w:spacing w:before="100" w:beforeAutospacing="1" w:after="100" w:afterAutospacing="1"/>
        <w:jc w:val="center"/>
        <w:rPr>
          <w:rFonts w:eastAsia="Times New Roman" w:cstheme="minorHAnsi"/>
          <w:b/>
          <w:bCs/>
          <w:color w:val="663300"/>
          <w:kern w:val="0"/>
          <w:sz w:val="28"/>
          <w:szCs w:val="28"/>
          <w:lang w:eastAsia="it-IT"/>
          <w14:ligatures w14:val="none"/>
        </w:rPr>
      </w:pPr>
      <w:r>
        <w:rPr>
          <w:rFonts w:eastAsia="Times New Roman" w:cstheme="minorHAnsi"/>
          <w:b/>
          <w:bCs/>
          <w:color w:val="663300"/>
          <w:kern w:val="0"/>
          <w:sz w:val="28"/>
          <w:szCs w:val="28"/>
          <w:lang w:val="it-IT" w:eastAsia="it-IT"/>
          <w14:ligatures w14:val="none"/>
        </w:rPr>
        <w:t xml:space="preserve"> </w:t>
      </w:r>
      <w:r w:rsidRPr="001F79CF">
        <w:rPr>
          <w:rFonts w:eastAsia="Times New Roman" w:cstheme="minorHAnsi"/>
          <w:b/>
          <w:bCs/>
          <w:color w:val="663300"/>
          <w:kern w:val="0"/>
          <w:sz w:val="28"/>
          <w:szCs w:val="28"/>
          <w:rtl/>
          <w:lang w:eastAsia="it-IT"/>
          <w14:ligatures w14:val="none"/>
        </w:rPr>
        <w:t>خِدمَة قديمة</w:t>
      </w:r>
      <w:r w:rsidRPr="001F79CF">
        <w:rPr>
          <w:rFonts w:eastAsia="Times New Roman" w:cstheme="minorHAnsi"/>
          <w:b/>
          <w:bCs/>
          <w:color w:val="663300"/>
          <w:kern w:val="0"/>
          <w:sz w:val="28"/>
          <w:szCs w:val="28"/>
          <w:rtl/>
          <w:lang w:eastAsia="it-IT"/>
          <w14:ligatures w14:val="none"/>
        </w:rPr>
        <w:t xml:space="preserve"> </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lang w:eastAsia="it-IT"/>
          <w14:ligatures w14:val="none"/>
        </w:rPr>
      </w:pPr>
      <w:r w:rsidRPr="001F79CF">
        <w:rPr>
          <w:rFonts w:eastAsia="Times New Roman" w:cstheme="minorHAnsi"/>
          <w:b/>
          <w:bCs/>
          <w:color w:val="663300"/>
          <w:kern w:val="0"/>
          <w:sz w:val="28"/>
          <w:szCs w:val="28"/>
          <w:rtl/>
          <w:lang w:eastAsia="it-IT"/>
          <w14:ligatures w14:val="none"/>
        </w:rPr>
        <w:t>رسالةٌ بابويَّةُ</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rtl/>
          <w:lang w:eastAsia="it-IT"/>
          <w14:ligatures w14:val="none"/>
        </w:rPr>
        <w:t>في صورة "براءة بابويّة"</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rtl/>
          <w:lang w:eastAsia="it-IT"/>
          <w14:ligatures w14:val="none"/>
        </w:rPr>
        <w:t>خِدمَة قديمة</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lang w:eastAsia="it-IT"/>
          <w14:ligatures w14:val="none"/>
        </w:rPr>
        <w:t>ANTIQUUM MINISTERIUM</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rtl/>
          <w:lang w:eastAsia="it-IT"/>
          <w14:ligatures w14:val="none"/>
        </w:rPr>
        <w:t>للحبر الأعظم البابا فرنسيس</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rtl/>
          <w:lang w:eastAsia="it-IT"/>
          <w14:ligatures w14:val="none"/>
        </w:rPr>
        <w:t>تنشأ بموجبها</w:t>
      </w:r>
    </w:p>
    <w:p w:rsidR="001F79CF" w:rsidRPr="001F79CF" w:rsidRDefault="001F79CF" w:rsidP="001F79CF">
      <w:pPr>
        <w:bidi/>
        <w:spacing w:before="100" w:beforeAutospacing="1" w:after="100" w:afterAutospacing="1"/>
        <w:jc w:val="center"/>
        <w:rPr>
          <w:rFonts w:eastAsia="Times New Roman" w:cstheme="minorHAnsi"/>
          <w:color w:val="000000"/>
          <w:kern w:val="0"/>
          <w:sz w:val="28"/>
          <w:szCs w:val="28"/>
          <w:rtl/>
          <w:lang w:eastAsia="it-IT"/>
          <w14:ligatures w14:val="none"/>
        </w:rPr>
      </w:pPr>
      <w:r w:rsidRPr="001F79CF">
        <w:rPr>
          <w:rFonts w:eastAsia="Times New Roman" w:cstheme="minorHAnsi"/>
          <w:b/>
          <w:bCs/>
          <w:color w:val="663300"/>
          <w:kern w:val="0"/>
          <w:sz w:val="28"/>
          <w:szCs w:val="28"/>
          <w:rtl/>
          <w:lang w:eastAsia="it-IT"/>
          <w14:ligatures w14:val="none"/>
        </w:rPr>
        <w:t>خدمة معلّم التّعليم المسيحيّ</w:t>
      </w:r>
    </w:p>
    <w:p w:rsidR="001F79CF" w:rsidRPr="001F79CF" w:rsidRDefault="001F79CF" w:rsidP="001F79CF">
      <w:pPr>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w:t>
      </w:r>
    </w:p>
    <w:p w:rsidR="001F79CF" w:rsidRPr="001F79CF" w:rsidRDefault="001F79CF" w:rsidP="001F79CF">
      <w:pPr>
        <w:bidi/>
        <w:spacing w:before="100" w:beforeAutospacing="1" w:after="100" w:afterAutospacing="1"/>
        <w:rPr>
          <w:rFonts w:eastAsia="Times New Roman" w:cstheme="minorHAnsi"/>
          <w:color w:val="000000"/>
          <w:kern w:val="0"/>
          <w:sz w:val="28"/>
          <w:szCs w:val="28"/>
          <w:lang w:eastAsia="it-IT"/>
          <w14:ligatures w14:val="none"/>
        </w:rPr>
      </w:pPr>
      <w:r w:rsidRPr="001F79CF">
        <w:rPr>
          <w:rFonts w:eastAsia="Times New Roman" w:cstheme="minorHAnsi"/>
          <w:color w:val="000000"/>
          <w:kern w:val="0"/>
          <w:sz w:val="28"/>
          <w:szCs w:val="28"/>
          <w:rtl/>
          <w:lang w:eastAsia="it-IT"/>
          <w14:ligatures w14:val="none"/>
        </w:rPr>
        <w:t xml:space="preserve">1.     خدمة معلّم التّعليم المسيحيّ في الكنيسة خدمة قديمة جدًّا. يفكر اللاهوتيون بصورة عامة أنّ الأمثلة الأولى موجودة من القديم في كتابات العهد الجديد نفسها. تجدُ خدمة التّعليم بذرتها الأولى في "المعلّمين" الذين ذكرهم الرسول عندما كتب إلى جماعة </w:t>
      </w:r>
      <w:proofErr w:type="spellStart"/>
      <w:r w:rsidRPr="001F79CF">
        <w:rPr>
          <w:rFonts w:eastAsia="Times New Roman" w:cstheme="minorHAnsi"/>
          <w:color w:val="000000"/>
          <w:kern w:val="0"/>
          <w:sz w:val="28"/>
          <w:szCs w:val="28"/>
          <w:rtl/>
          <w:lang w:eastAsia="it-IT"/>
          <w14:ligatures w14:val="none"/>
        </w:rPr>
        <w:t>قورنتس</w:t>
      </w:r>
      <w:proofErr w:type="spellEnd"/>
      <w:r w:rsidRPr="001F79CF">
        <w:rPr>
          <w:rFonts w:eastAsia="Times New Roman" w:cstheme="minorHAnsi"/>
          <w:color w:val="000000"/>
          <w:kern w:val="0"/>
          <w:sz w:val="28"/>
          <w:szCs w:val="28"/>
          <w:rtl/>
          <w:lang w:eastAsia="it-IT"/>
          <w14:ligatures w14:val="none"/>
        </w:rPr>
        <w:t xml:space="preserve">: "والَّذينَ أَقامَهمُ اللهُ في الكَنيسةِ همُ الرُّسُلُ أَوَّلًا والأَنبِياءُ ثانِيًا والمُعَلِّمونَ ثالِثًا، ثُمَّ هُناكَ المُعجِزات، ثُمَّ مَواهِبُ الشِّفاءِ والإِسعافِ وحُسْنِ الإِدارةِ والتَّكَلُّمِ بِلُغات. أَتُراهم كُلَّهُم رُسُلاً وكُلَّهُم أَنبِياء وكُلَّهُم مُعَلِّمين وكُلَّهُم يُجرونَ المُعجِزات وكُلَّهُم عِندَهم مَوهِبةُ الشِّفاء وكُلَّهُم يَتَكَلَّمونَ بِاللُّغات وكُلَّهُم يُتَرجِمون؟ </w:t>
      </w:r>
      <w:proofErr w:type="spellStart"/>
      <w:r w:rsidRPr="001F79CF">
        <w:rPr>
          <w:rFonts w:eastAsia="Times New Roman" w:cstheme="minorHAnsi"/>
          <w:color w:val="000000"/>
          <w:kern w:val="0"/>
          <w:sz w:val="28"/>
          <w:szCs w:val="28"/>
          <w:rtl/>
          <w:lang w:eastAsia="it-IT"/>
          <w14:ligatures w14:val="none"/>
        </w:rPr>
        <w:t>إِطمَحوا</w:t>
      </w:r>
      <w:proofErr w:type="spellEnd"/>
      <w:r w:rsidRPr="001F79CF">
        <w:rPr>
          <w:rFonts w:eastAsia="Times New Roman" w:cstheme="minorHAnsi"/>
          <w:color w:val="000000"/>
          <w:kern w:val="0"/>
          <w:sz w:val="28"/>
          <w:szCs w:val="28"/>
          <w:rtl/>
          <w:lang w:eastAsia="it-IT"/>
          <w14:ligatures w14:val="none"/>
        </w:rPr>
        <w:t xml:space="preserve"> إِلى المَواهِبِ العُظْمى، وها إِنِّي أَدُلُّكُم على طريقٍ أَفضَلَ مِنها كثيرًا" (1قورنتس 12، 28-31).</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افتتح لوقا نفسه إنجيله بالقول: "رَأَيتُ أَنا أَيضًا، وقَد تقَصَّيتُها جَميعًا مِن أُصولِها، أَن أَكتُبَها لَكَ مُرَتَّبَةً يا </w:t>
      </w:r>
      <w:proofErr w:type="spellStart"/>
      <w:r w:rsidRPr="001F79CF">
        <w:rPr>
          <w:rFonts w:eastAsia="Times New Roman" w:cstheme="minorHAnsi"/>
          <w:color w:val="000000"/>
          <w:kern w:val="0"/>
          <w:sz w:val="28"/>
          <w:szCs w:val="28"/>
          <w:rtl/>
          <w:lang w:eastAsia="it-IT"/>
          <w14:ligatures w14:val="none"/>
        </w:rPr>
        <w:t>تاوفيلُسُ</w:t>
      </w:r>
      <w:proofErr w:type="spellEnd"/>
      <w:r w:rsidRPr="001F79CF">
        <w:rPr>
          <w:rFonts w:eastAsia="Times New Roman" w:cstheme="minorHAnsi"/>
          <w:color w:val="000000"/>
          <w:kern w:val="0"/>
          <w:sz w:val="28"/>
          <w:szCs w:val="28"/>
          <w:rtl/>
          <w:lang w:eastAsia="it-IT"/>
          <w14:ligatures w14:val="none"/>
        </w:rPr>
        <w:t xml:space="preserve"> المُكرَّم، لِتَتَيَقَّنَ صِحَّةَ ما تَلَقَّيتَ مِن تَعليم" (لوقا 1، 3-4). يبدو أنّ الإنجيليّ يدرك جيّدًا أنّه يقدّم من خلال كتاباته شكلًا محدّدًا من التّعليم، الذي يسمح بإعطاء الصّلابة والقوّة للذين تعمّدوا من قبل. يعود الرسول بولس إلى الموضوع مرّةً أُخرى عندما يُوصي أهل </w:t>
      </w:r>
      <w:proofErr w:type="spellStart"/>
      <w:r w:rsidRPr="001F79CF">
        <w:rPr>
          <w:rFonts w:eastAsia="Times New Roman" w:cstheme="minorHAnsi"/>
          <w:color w:val="000000"/>
          <w:kern w:val="0"/>
          <w:sz w:val="28"/>
          <w:szCs w:val="28"/>
          <w:rtl/>
          <w:lang w:eastAsia="it-IT"/>
          <w14:ligatures w14:val="none"/>
        </w:rPr>
        <w:t>غلاطية</w:t>
      </w:r>
      <w:proofErr w:type="spellEnd"/>
      <w:r w:rsidRPr="001F79CF">
        <w:rPr>
          <w:rFonts w:eastAsia="Times New Roman" w:cstheme="minorHAnsi"/>
          <w:color w:val="000000"/>
          <w:kern w:val="0"/>
          <w:sz w:val="28"/>
          <w:szCs w:val="28"/>
          <w:rtl/>
          <w:lang w:eastAsia="it-IT"/>
          <w14:ligatures w14:val="none"/>
        </w:rPr>
        <w:t>: "فَلْيُشرِكْ مَن يتَعَلَّمُ كَلِمَةَ اللهِ مُعَلِّمَه في جَميعِ خَيراتِه" (</w:t>
      </w:r>
      <w:proofErr w:type="spellStart"/>
      <w:r w:rsidRPr="001F79CF">
        <w:rPr>
          <w:rFonts w:eastAsia="Times New Roman" w:cstheme="minorHAnsi"/>
          <w:color w:val="000000"/>
          <w:kern w:val="0"/>
          <w:sz w:val="28"/>
          <w:szCs w:val="28"/>
          <w:rtl/>
          <w:lang w:eastAsia="it-IT"/>
          <w14:ligatures w14:val="none"/>
        </w:rPr>
        <w:t>غلاطية</w:t>
      </w:r>
      <w:proofErr w:type="spellEnd"/>
      <w:r w:rsidRPr="001F79CF">
        <w:rPr>
          <w:rFonts w:eastAsia="Times New Roman" w:cstheme="minorHAnsi"/>
          <w:color w:val="000000"/>
          <w:kern w:val="0"/>
          <w:sz w:val="28"/>
          <w:szCs w:val="28"/>
          <w:rtl/>
          <w:lang w:eastAsia="it-IT"/>
          <w14:ligatures w14:val="none"/>
        </w:rPr>
        <w:t xml:space="preserve"> 6، 6). نلاحظ في هذا الكلام أنّ النص يُضيف ميزة أساسيّة، وهي شركة الحياة كميزة من ميّزات خصوبة التّعليم المسيحيّ الحقيقيّ الذي نتلقّاه.</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2.     اختبرت الجماعة المسيحيّة منذ بداياتها شكلًا منتشرًا من الخدمة، ظهرت في خدمة الرجال والنساء الذين أطاعوا عمل الرّوح القدس وكرّسوا حياتهم لبناء الكنيسة. إنّ المواهب التي لم يتوقّف الرّوح القدس قط عن إفاضتها على المعمَّدين، وجدت في بعض الأوقات شكلًا مرئيًّا وملموسًا في الخدمة المباشرة للجماعة المسيحيّة في تعابيرها المتعدّدة، لدرجة أنّه تمّ الاعتراف بها على أنّها خدمة لا غنى عنها للجماعة المؤمنة. يعبّر عن ذلك الرسول بولس وهو مصدر موثوق به، عندما يؤكد قائلًا: "إِنَّ المَواهِبَ على أَنواع وأَمَّا الرُّوحُ فهو هو، وإِنَّ الخِدْماتِ على أَنواع وأَمَّا الرَّبُّ فهو هو، وإِنَّ الأَعمالَ على أَنواع وأَمَّا الله الَّذي يَعمَلُ كُلَّ شَيءٍ في جَميعِ النَّاسِ فهو هو. لِكُلِّ واحِدٍ يوهَبُ ما يُظهِرُ الرُّوحَ لأَجْلِ الخَيرِ العامّ. فلأَحَدِهم يوهَبُ بِالرُّوحِ كَلامُ حِكمَة، ولِلآخَرِ يوهَبُ وَفْقًا لِلرُّوحِ نَفْسِه كَلامُ مَعرِفَة، ولِسِواهُ الإِيمانُ في الرُّوحِ نَفْسِه، ولِلآخَرِ هِبَةُ الشِّفاءِ بِهٰذا الرُّوحِ الواحِد، ولِسِواهُ القُدرَةُ على الإِتْيانِ بِالمُعجِزات، </w:t>
      </w:r>
      <w:r w:rsidRPr="001F79CF">
        <w:rPr>
          <w:rFonts w:eastAsia="Times New Roman" w:cstheme="minorHAnsi"/>
          <w:color w:val="000000"/>
          <w:kern w:val="0"/>
          <w:sz w:val="28"/>
          <w:szCs w:val="28"/>
          <w:rtl/>
          <w:lang w:eastAsia="it-IT"/>
          <w14:ligatures w14:val="none"/>
        </w:rPr>
        <w:lastRenderedPageBreak/>
        <w:t xml:space="preserve">ولِلآخَر النُّبوءَة، ولِسِواهُ التَّمييزُ ما بَينَ الأَرواح، ولِلآخَرِ التَّكَلُّمُ بِاللُّغات، ولِسِواهُ تَرجَمَتُها، وهٰذا كُلُّه يَعمَلُه الرُّوحُ الواحِدُ نَفْسُه مُوَزِّعًا على كُلِّ واحِدٍ ما </w:t>
      </w:r>
      <w:proofErr w:type="spellStart"/>
      <w:r w:rsidRPr="001F79CF">
        <w:rPr>
          <w:rFonts w:eastAsia="Times New Roman" w:cstheme="minorHAnsi"/>
          <w:color w:val="000000"/>
          <w:kern w:val="0"/>
          <w:sz w:val="28"/>
          <w:szCs w:val="28"/>
          <w:rtl/>
          <w:lang w:eastAsia="it-IT"/>
          <w14:ligatures w14:val="none"/>
        </w:rPr>
        <w:t>يُوافِقُه</w:t>
      </w:r>
      <w:proofErr w:type="spellEnd"/>
      <w:r w:rsidRPr="001F79CF">
        <w:rPr>
          <w:rFonts w:eastAsia="Times New Roman" w:cstheme="minorHAnsi"/>
          <w:color w:val="000000"/>
          <w:kern w:val="0"/>
          <w:sz w:val="28"/>
          <w:szCs w:val="28"/>
          <w:rtl/>
          <w:lang w:eastAsia="it-IT"/>
          <w14:ligatures w14:val="none"/>
        </w:rPr>
        <w:t xml:space="preserve"> كما يَشاء"(1قورنتس 12، 4-11).</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في قلب المواهب في التقليد الرئيسي في العهد الجديد، من الممكن أن نجد عمليًّا حضور المعمَّدين الذين مارسوا الخدمة في نقل تعليم الرّسل والإنجيليّين، بطريقة أكثر تنظيمًا، ودائمًا، ووفقًا لظروف الحياة المختلفة. (را. المجمع الفاتيكاني الثاني، </w:t>
      </w:r>
      <w:r w:rsidRPr="001F79CF">
        <w:rPr>
          <w:rFonts w:eastAsia="Times New Roman" w:cstheme="minorHAnsi"/>
          <w:i/>
          <w:iCs/>
          <w:color w:val="000000"/>
          <w:kern w:val="0"/>
          <w:sz w:val="28"/>
          <w:szCs w:val="28"/>
          <w:rtl/>
          <w:lang w:eastAsia="it-IT"/>
          <w14:ligatures w14:val="none"/>
        </w:rPr>
        <w:t>دستور عقائدي في الوحي الإلهي</w:t>
      </w:r>
      <w:r w:rsidRPr="001F79CF">
        <w:rPr>
          <w:rFonts w:eastAsia="Times New Roman" w:cstheme="minorHAnsi"/>
          <w:color w:val="000000"/>
          <w:kern w:val="0"/>
          <w:sz w:val="28"/>
          <w:szCs w:val="28"/>
          <w:rtl/>
          <w:lang w:eastAsia="it-IT"/>
          <w14:ligatures w14:val="none"/>
        </w:rPr>
        <w:t>، 8). أرادت الكنيسة الاعتراف بهذه الخدمة التي كانت تعبيرًا عمليًّا عن مواهب شخصيّة ساعدت كثيرًا في تتميم رسالتها التبشيريّة. هذا النّظر إلى حياة الجماعات المسيحيّة الأولى التي التزمت بنشر الإنجيل وتطويره، يحمل الكنيسة اليوم أيضًا على البحث عن التعابير الجديدة الممكنة، لتستمر وتبقى أمينةً لكلمة الرّبّ، فتسهم في توصيل الإنجيل إلى كلّ خليقة.</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3.     التّاريخ الكامل للتّبشير بالإنجيل في هاتين الألفيّتين، يُظهر بوضوح كبير مدى فعّاليّة رسالة معلّمي التّعليم المسيحيّ. الأساقفة والكهنة والشمامسة، والعديد من الرجالِ والنساءِ في الحياة المكرّسة، كرّسوا حياتهم للتعليم المسيحيّ، حتّى يكون الإيمان سندًا فعّالًا للحياة الشخصيّة لكلّ إنسان. وجَمَعَ بعضهم حولهم إخوة وأخوات آخرين، يشتركون في الموهبة نفسها، وشكّلوا جمعيات رهبانيّة تفرغت بصورة كاملة لخدمة التّعليم المسيحيّ.</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ولا يمكننا أن ننسى العدد الهائل من العلمانيّين والعلمانيات الذين شاركوا بشكلٍ مباشر في نشر الإنجيل من خلال التّعليم المسيحيّ. رجالٌ ونساء كان يُنعشهم إيمان كبير، وكانوا شهودًا حقيقيّين للقداسة، وكانوا في بعض الحالات مؤسّسي الكنائس، بل وصلوا إلى حدّ بذل حياتهم. في أيّامنا الحاضرة أيضًا، العديد من معلّمي التّعليم المسيحيّ، المؤهلين والمثابرين، هُم اليوم على رأس جماعاتٍ في مناطق مختلفة، ويقومون بمهمّة لا غنى عنها في نقل الإيمان وتعميقه. إنّ الرّتل الطويل من معلّمي التّعليم المسيحيّ الطوباويّين والقدّيسين والشهداء، الذي ميّز رسالة الكنيسة، يستحقّ أن يُعرف، لأنّهم ينبوعٌ خَصب، ليس فقط للتعليم المسيحيّ، بل لتاريخ الروحانيّة المسيحيّة بأكمله.</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4.     شعرت الكنيسة منذ المجمع الفاتيكاني الثاني بوعي متجدّد، بأهميّة الالتزام العلمانيّ في عمل البشارة. أكد آباء المجمع مرارًا وتكرارًا مدى ضرورة مشاركة المؤمنين العلمانيّين المباشرة في الأشكال المختلفة التي يمكن أن يعبّروا بها عن مواهبهم، من أجل "زَرْعِ الكنيسة" وتنمية الجماعة المسيحيّة. "وكذلك لا بدَّ من الإشادة بذلك العدد الكبير الذي كان لهم الفضل الأكبر في العمل </w:t>
      </w:r>
      <w:proofErr w:type="spellStart"/>
      <w:r w:rsidRPr="001F79CF">
        <w:rPr>
          <w:rFonts w:eastAsia="Times New Roman" w:cstheme="minorHAnsi"/>
          <w:color w:val="000000"/>
          <w:kern w:val="0"/>
          <w:sz w:val="28"/>
          <w:szCs w:val="28"/>
          <w:rtl/>
          <w:lang w:eastAsia="it-IT"/>
          <w14:ligatures w14:val="none"/>
        </w:rPr>
        <w:t>الإرسالي</w:t>
      </w:r>
      <w:proofErr w:type="spellEnd"/>
      <w:r w:rsidRPr="001F79CF">
        <w:rPr>
          <w:rFonts w:eastAsia="Times New Roman" w:cstheme="minorHAnsi"/>
          <w:color w:val="000000"/>
          <w:kern w:val="0"/>
          <w:sz w:val="28"/>
          <w:szCs w:val="28"/>
          <w:rtl/>
          <w:lang w:eastAsia="it-IT"/>
          <w14:ligatures w14:val="none"/>
        </w:rPr>
        <w:t xml:space="preserve"> فيما بين الأمم. هم معلّمو التّعليم الدينيّ، من رجالٍ ونساءٍ، الذين أُشرِبوا الرّوح الرسوليّة، وأدّوا بأعمالهِم الجليلةِ عَوْنًا فريدًا وضروريًّا لِنَشْرِ الإيمان والكنيسة. وفي هذه الأيام، وقد قلّ عدد </w:t>
      </w:r>
      <w:proofErr w:type="spellStart"/>
      <w:r w:rsidRPr="001F79CF">
        <w:rPr>
          <w:rFonts w:eastAsia="Times New Roman" w:cstheme="minorHAnsi"/>
          <w:color w:val="000000"/>
          <w:kern w:val="0"/>
          <w:sz w:val="28"/>
          <w:szCs w:val="28"/>
          <w:rtl/>
          <w:lang w:eastAsia="it-IT"/>
          <w14:ligatures w14:val="none"/>
        </w:rPr>
        <w:t>الإكليريكيّين</w:t>
      </w:r>
      <w:proofErr w:type="spellEnd"/>
      <w:r w:rsidRPr="001F79CF">
        <w:rPr>
          <w:rFonts w:eastAsia="Times New Roman" w:cstheme="minorHAnsi"/>
          <w:color w:val="000000"/>
          <w:kern w:val="0"/>
          <w:sz w:val="28"/>
          <w:szCs w:val="28"/>
          <w:rtl/>
          <w:lang w:eastAsia="it-IT"/>
          <w14:ligatures w14:val="none"/>
        </w:rPr>
        <w:t xml:space="preserve"> لتبشيرِ هذه الجماهير الغفيرة والقيامِ بالمهمة الراعويّة، صارت مُهمّة معلّم التّعليم المسيحيّ ذات أهمية كبيرة جدًّا" (المجمع الفاتيكاني الثاني، </w:t>
      </w:r>
      <w:r w:rsidRPr="001F79CF">
        <w:rPr>
          <w:rFonts w:eastAsia="Times New Roman" w:cstheme="minorHAnsi"/>
          <w:i/>
          <w:iCs/>
          <w:color w:val="000000"/>
          <w:kern w:val="0"/>
          <w:sz w:val="28"/>
          <w:szCs w:val="28"/>
          <w:rtl/>
          <w:lang w:eastAsia="it-IT"/>
          <w14:ligatures w14:val="none"/>
        </w:rPr>
        <w:t xml:space="preserve">قرار مجمعي في نشاط الكنيسة </w:t>
      </w:r>
      <w:proofErr w:type="spellStart"/>
      <w:r w:rsidRPr="001F79CF">
        <w:rPr>
          <w:rFonts w:eastAsia="Times New Roman" w:cstheme="minorHAnsi"/>
          <w:i/>
          <w:iCs/>
          <w:color w:val="000000"/>
          <w:kern w:val="0"/>
          <w:sz w:val="28"/>
          <w:szCs w:val="28"/>
          <w:rtl/>
          <w:lang w:eastAsia="it-IT"/>
          <w14:ligatures w14:val="none"/>
        </w:rPr>
        <w:t>الإرسالي</w:t>
      </w:r>
      <w:proofErr w:type="spellEnd"/>
      <w:r w:rsidRPr="001F79CF">
        <w:rPr>
          <w:rFonts w:eastAsia="Times New Roman" w:cstheme="minorHAnsi"/>
          <w:color w:val="000000"/>
          <w:kern w:val="0"/>
          <w:sz w:val="28"/>
          <w:szCs w:val="28"/>
          <w:rtl/>
          <w:lang w:eastAsia="it-IT"/>
          <w14:ligatures w14:val="none"/>
        </w:rPr>
        <w:t>، 17).</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بالإضافة إلى التّعليم المجمعي الغزير، لا بد من ذكر الاهتمام الدائم للأحبار الأعظمين، </w:t>
      </w:r>
      <w:proofErr w:type="spellStart"/>
      <w:r w:rsidRPr="001F79CF">
        <w:rPr>
          <w:rFonts w:eastAsia="Times New Roman" w:cstheme="minorHAnsi"/>
          <w:color w:val="000000"/>
          <w:kern w:val="0"/>
          <w:sz w:val="28"/>
          <w:szCs w:val="28"/>
          <w:rtl/>
          <w:lang w:eastAsia="it-IT"/>
          <w14:ligatures w14:val="none"/>
        </w:rPr>
        <w:t>وسينودس</w:t>
      </w:r>
      <w:proofErr w:type="spellEnd"/>
      <w:r w:rsidRPr="001F79CF">
        <w:rPr>
          <w:rFonts w:eastAsia="Times New Roman" w:cstheme="minorHAnsi"/>
          <w:color w:val="000000"/>
          <w:kern w:val="0"/>
          <w:sz w:val="28"/>
          <w:szCs w:val="28"/>
          <w:rtl/>
          <w:lang w:eastAsia="it-IT"/>
          <w14:ligatures w14:val="none"/>
        </w:rPr>
        <w:t xml:space="preserve"> الأساقفة، والمجالس الأسقفيّة، والرّعاة الأفراد الذين أحدثوا خلال هذه العقود تجديدًا ملحوظًا في التّعليم المسيحيّ. إنّ التّعليم المسيحيّ للكنيسة الكاثوليكيّة، والإرشاد الرسوليّ "واجب تعليم التّعليم المسيحيّ"، والدّليل العام للكرازة، والدّليل العام للتعليم المسيحيّ، والدّليل العام السّابق للتعليم المسيحيّ، إلى جانب العديد من كتب التّعليم المسيحيّ الدوليّة، والإقليميّة والأبرشيّة، هي تعبير عن القيمة المركزيّة لعمل التّعليم المسيحيّ، الذي يضع التّعليم والتّنشئة المستمرّة للمؤمنين في المقدّمة.</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lastRenderedPageBreak/>
        <w:t>5.     دون الانتقاص من رسالة الأسقف في كونه أوّل معلّمٍ للتعليم المسيحيّ في أبرشيّته، مع الكاهن الذي يتقاسم معه الرعاية نفسها، ومن المسؤوليّة الخاصّة للوالدين فيما يتعلّق بالتّنشئة المسيحيّة لأبنائهم (را. مجموعة الحقّ القانوني اللاتيني، قانون 774§2؛ مجموعة قوانين الكنائس الشرقيّة، قانون 618)، من الضّروري التّسليم بضرورة إسهام الأشخاص العلمانيّين الذين، بحكم معموديّتهم، يشعرون بأنّهم مدعوّون إلى التّعاون في خدمة التّعليم المسيحيّ (را. مجموعة الحقّ القانوني اللاتيني، قانون 225؛ مجموعة قوانين الكنائس الشرقيّة، قانون 401، 406). الحاجة إلى حضورهم في هذه الأيام أكثر إلحاحًا، من أجل تحقيق الوعي المتجدّد للتّبشير بالإنجيل في العالم المعاصر (را. الإرشاد الرسولي</w:t>
      </w:r>
      <w:r w:rsidRPr="001F79CF">
        <w:rPr>
          <w:rFonts w:eastAsia="Times New Roman" w:cstheme="minorHAnsi"/>
          <w:i/>
          <w:iCs/>
          <w:color w:val="000000"/>
          <w:kern w:val="0"/>
          <w:sz w:val="28"/>
          <w:szCs w:val="28"/>
          <w:rtl/>
          <w:lang w:eastAsia="it-IT"/>
          <w14:ligatures w14:val="none"/>
        </w:rPr>
        <w:t>، فرح الإنجيل</w:t>
      </w:r>
      <w:r w:rsidRPr="001F79CF">
        <w:rPr>
          <w:rFonts w:eastAsia="Times New Roman" w:cstheme="minorHAnsi"/>
          <w:color w:val="000000"/>
          <w:kern w:val="0"/>
          <w:sz w:val="28"/>
          <w:szCs w:val="28"/>
          <w:rtl/>
          <w:lang w:eastAsia="it-IT"/>
          <w14:ligatures w14:val="none"/>
        </w:rPr>
        <w:t xml:space="preserve">، 163-168)، وبسبب انتشار ثقافة </w:t>
      </w:r>
      <w:proofErr w:type="spellStart"/>
      <w:r w:rsidRPr="001F79CF">
        <w:rPr>
          <w:rFonts w:eastAsia="Times New Roman" w:cstheme="minorHAnsi"/>
          <w:color w:val="000000"/>
          <w:kern w:val="0"/>
          <w:sz w:val="28"/>
          <w:szCs w:val="28"/>
          <w:rtl/>
          <w:lang w:eastAsia="it-IT"/>
          <w14:ligatures w14:val="none"/>
        </w:rPr>
        <w:t>مُعَولَمَة</w:t>
      </w:r>
      <w:proofErr w:type="spellEnd"/>
      <w:r w:rsidRPr="001F79CF">
        <w:rPr>
          <w:rFonts w:eastAsia="Times New Roman" w:cstheme="minorHAnsi"/>
          <w:color w:val="000000"/>
          <w:kern w:val="0"/>
          <w:sz w:val="28"/>
          <w:szCs w:val="28"/>
          <w:rtl/>
          <w:lang w:eastAsia="it-IT"/>
          <w14:ligatures w14:val="none"/>
        </w:rPr>
        <w:t xml:space="preserve"> (را. رسالة بابويّة عامّة، </w:t>
      </w:r>
      <w:r w:rsidRPr="001F79CF">
        <w:rPr>
          <w:rFonts w:eastAsia="Times New Roman" w:cstheme="minorHAnsi"/>
          <w:i/>
          <w:iCs/>
          <w:color w:val="000000"/>
          <w:kern w:val="0"/>
          <w:sz w:val="28"/>
          <w:szCs w:val="28"/>
          <w:rtl/>
          <w:lang w:eastAsia="it-IT"/>
          <w14:ligatures w14:val="none"/>
        </w:rPr>
        <w:t xml:space="preserve">كلّنا أخوة </w:t>
      </w:r>
      <w:r w:rsidRPr="001F79CF">
        <w:rPr>
          <w:rFonts w:eastAsia="Times New Roman" w:cstheme="minorHAnsi"/>
          <w:i/>
          <w:iCs/>
          <w:color w:val="000000"/>
          <w:kern w:val="0"/>
          <w:sz w:val="28"/>
          <w:szCs w:val="28"/>
          <w:lang w:eastAsia="it-IT"/>
          <w14:ligatures w14:val="none"/>
        </w:rPr>
        <w:t>Fratelli Tutti</w:t>
      </w:r>
      <w:r w:rsidRPr="001F79CF">
        <w:rPr>
          <w:rFonts w:eastAsia="Times New Roman" w:cstheme="minorHAnsi"/>
          <w:color w:val="000000"/>
          <w:kern w:val="0"/>
          <w:sz w:val="28"/>
          <w:szCs w:val="28"/>
          <w:rtl/>
          <w:lang w:eastAsia="it-IT"/>
          <w14:ligatures w14:val="none"/>
        </w:rPr>
        <w:t xml:space="preserve">، 100-138)، تتطلّب لقاءً حقيقيًّا مع الأجيال الشّابّة، دون إغفال الحاجة إلى منهجيّات وأدوات إبداعيّة، تجعل إعلان الإنجيل متّسقًا مع التحوّل </w:t>
      </w:r>
      <w:proofErr w:type="spellStart"/>
      <w:r w:rsidRPr="001F79CF">
        <w:rPr>
          <w:rFonts w:eastAsia="Times New Roman" w:cstheme="minorHAnsi"/>
          <w:color w:val="000000"/>
          <w:kern w:val="0"/>
          <w:sz w:val="28"/>
          <w:szCs w:val="28"/>
          <w:rtl/>
          <w:lang w:eastAsia="it-IT"/>
          <w14:ligatures w14:val="none"/>
        </w:rPr>
        <w:t>الإرسالي</w:t>
      </w:r>
      <w:proofErr w:type="spellEnd"/>
      <w:r w:rsidRPr="001F79CF">
        <w:rPr>
          <w:rFonts w:eastAsia="Times New Roman" w:cstheme="minorHAnsi"/>
          <w:color w:val="000000"/>
          <w:kern w:val="0"/>
          <w:sz w:val="28"/>
          <w:szCs w:val="28"/>
          <w:rtl/>
          <w:lang w:eastAsia="it-IT"/>
          <w14:ligatures w14:val="none"/>
        </w:rPr>
        <w:t xml:space="preserve"> الذي قامت به الكنيسة. إنّ الأمانة للماضي والمسؤوليّة عن الحاضر هُما شرطان لا غنى عنهما حتّى تتمكّن الكنيسة من أداء رسالتها في العالم.</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إنّ إيقاظ الحماس الشخصيّ لكلّ معمَّد وإحياء الوعي فيه بأنّه مدعو للقيام بمهمّته في الجماعة، يتطلّب الإصغاء إلى صوت الرّوح القدس الذي لا يغيب أبدًا بحضوره الخصب. (را. مجموعة الحقّ القانوني اللاتيني، قانون 774§1؛ مجموعة قوانين الكنائس الشرقيّة، قانون 617). الرّوح القدس يدعو اليوم أيضًا الرجال والنساء للانطلاق، للقاء الكثيرين الذين ينتظرون التعرّف على جمال الإيمان المسيحيّ وصلاحه وحقيقته. من واجب الرّعاة دعم هذا المسار وإغناء حياة الجماعة المسيحيّة، من خلال الاعتراف بالخدمات العلمانيّة القادرة على المساهمة في تغيير المجتمع، عبْرَ "تغلغل القيم المسيحيّة في العالم الاجتماعيّ والسّياسيّ والاقتصاديّ" (الإرشاد الرسولي</w:t>
      </w:r>
      <w:r w:rsidRPr="001F79CF">
        <w:rPr>
          <w:rFonts w:eastAsia="Times New Roman" w:cstheme="minorHAnsi"/>
          <w:i/>
          <w:iCs/>
          <w:color w:val="000000"/>
          <w:kern w:val="0"/>
          <w:sz w:val="28"/>
          <w:szCs w:val="28"/>
          <w:rtl/>
          <w:lang w:eastAsia="it-IT"/>
          <w14:ligatures w14:val="none"/>
        </w:rPr>
        <w:t>، فرح الإنجيل</w:t>
      </w:r>
      <w:r w:rsidRPr="001F79CF">
        <w:rPr>
          <w:rFonts w:eastAsia="Times New Roman" w:cstheme="minorHAnsi"/>
          <w:color w:val="000000"/>
          <w:kern w:val="0"/>
          <w:sz w:val="28"/>
          <w:szCs w:val="28"/>
          <w:rtl/>
          <w:lang w:eastAsia="it-IT"/>
          <w14:ligatures w14:val="none"/>
        </w:rPr>
        <w:t>، 102).</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6.     رسالة العلمانيّين لها قيمة في العالم غير قابلة للجدل. وهي تدعو إلى أن "يطلبوا ملكوتَ الله، بينما يتعاطونَ الأشياءَ الزمنية ويوجِّهونها وفقًا لإرادة الله" (المجمع الفاتيكاني الثاني، </w:t>
      </w:r>
      <w:r w:rsidRPr="001F79CF">
        <w:rPr>
          <w:rFonts w:eastAsia="Times New Roman" w:cstheme="minorHAnsi"/>
          <w:i/>
          <w:iCs/>
          <w:color w:val="000000"/>
          <w:kern w:val="0"/>
          <w:sz w:val="28"/>
          <w:szCs w:val="28"/>
          <w:rtl/>
          <w:lang w:eastAsia="it-IT"/>
          <w14:ligatures w14:val="none"/>
        </w:rPr>
        <w:t>دستور عقائدي في الكنيسة، نور الأمم</w:t>
      </w:r>
      <w:r w:rsidRPr="001F79CF">
        <w:rPr>
          <w:rFonts w:eastAsia="Times New Roman" w:cstheme="minorHAnsi"/>
          <w:color w:val="000000"/>
          <w:kern w:val="0"/>
          <w:sz w:val="28"/>
          <w:szCs w:val="28"/>
          <w:rtl/>
          <w:lang w:eastAsia="it-IT"/>
          <w14:ligatures w14:val="none"/>
        </w:rPr>
        <w:t>، 31). تتشابك حياتهم اليوميّة بالعلاقات والرّوابط الأسريّة والاجتماعيّة، والتي تسمح بالتّحقّق إلى أيّ مدى "هم مدعوون بصورةٍ خاصةٍ إلى أن يجعلوا الكنيسةَ حاضرةً وفعَّالة في تلك الأماكن والظروف التي لا يمكنها أن تكون ملح الأرض إلا بواسطتهم" (</w:t>
      </w:r>
      <w:r w:rsidRPr="001F79CF">
        <w:rPr>
          <w:rFonts w:eastAsia="Times New Roman" w:cstheme="minorHAnsi"/>
          <w:i/>
          <w:iCs/>
          <w:color w:val="000000"/>
          <w:kern w:val="0"/>
          <w:sz w:val="28"/>
          <w:szCs w:val="28"/>
          <w:rtl/>
          <w:lang w:eastAsia="it-IT"/>
          <w14:ligatures w14:val="none"/>
        </w:rPr>
        <w:t>نفس المرجع</w:t>
      </w:r>
      <w:r w:rsidRPr="001F79CF">
        <w:rPr>
          <w:rFonts w:eastAsia="Times New Roman" w:cstheme="minorHAnsi"/>
          <w:color w:val="000000"/>
          <w:kern w:val="0"/>
          <w:sz w:val="28"/>
          <w:szCs w:val="28"/>
          <w:rtl/>
          <w:lang w:eastAsia="it-IT"/>
          <w14:ligatures w14:val="none"/>
        </w:rPr>
        <w:t>، 33). مع ذلك، من الجيّد أن نتذكّر أنّه، علاوةً على هذه الرّسالة، "يُمكن أن يُدعى العَلمانيون بطرقٍ مختلفةٍ إلى تعاونٍ مباشرٍ مع السلطة الكنسيّة في رسالتها، على مثال أولئك الرجال والنساء الذين كانوا معاوني الرسول بولس في نشرِ الإنجيل والذين بذلوا، من أجل الرّبّ، جهدًا كبيرًا" (</w:t>
      </w:r>
      <w:r w:rsidRPr="001F79CF">
        <w:rPr>
          <w:rFonts w:eastAsia="Times New Roman" w:cstheme="minorHAnsi"/>
          <w:i/>
          <w:iCs/>
          <w:color w:val="000000"/>
          <w:kern w:val="0"/>
          <w:sz w:val="28"/>
          <w:szCs w:val="28"/>
          <w:rtl/>
          <w:lang w:eastAsia="it-IT"/>
          <w14:ligatures w14:val="none"/>
        </w:rPr>
        <w:t>نفس المرجع</w:t>
      </w:r>
      <w:r w:rsidRPr="001F79CF">
        <w:rPr>
          <w:rFonts w:eastAsia="Times New Roman" w:cstheme="minorHAnsi"/>
          <w:color w:val="000000"/>
          <w:kern w:val="0"/>
          <w:sz w:val="28"/>
          <w:szCs w:val="28"/>
          <w:rtl/>
          <w:lang w:eastAsia="it-IT"/>
          <w14:ligatures w14:val="none"/>
        </w:rPr>
        <w:t>، 33).</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ومع ذلك، فإنّ المهمة الخاصّة التي يؤدّيها معلّم التّعليم المسيحيّ، تتميز عن الخدمات الأخرى الموجودة في الجماعة المسيحيّة. إنّ معلّم التّعليم المسيحيّ، في الواقع، مدعو في المقام الأوّل للتّعبير عن كفاءته في الخدمة الراعويّة في مجال نقل الإيمان الذي يتطوّر في مراحله المختلفة: من الإعلان الأوّل الذي هو مقدمة البشارة بالإنجيل، إلى التّعليم الذي يجعلنا ندرك الحياة الجديدة في المسيح، ويهيّئنا بشكل خاص لأسرار التّنشئة المسيحيّة، وصولًا إلى التّنشئة المستمرّة التي تمكِّن كلّ معمّد من أن يكون مستعدًّا دائمًا "لأَن تَرُدُّوا على مَن يَطلُبُ مِنكم دَليلَ ما أَنتم علَيه مِنَ الرَّجاء" (1بطرس 3، 15). معلّم التعليم المسيحيّ هو في الوقت نفسه شاهد للإيمان، ومعلّم وخادمٌ للأسرار، ورفيق ومربٍّ يرشد باسم الكنيسة. إنّه هويّة، لا يمكن أن تنمو بانسجام ومسؤوليّة، إلّا من خلال الصّلاة والدّراسة والمشاركة المباشرة في حياة الجماعة (را. المجلس الحبري لتعزيز التّبشير الجديد، </w:t>
      </w:r>
      <w:r w:rsidRPr="001F79CF">
        <w:rPr>
          <w:rFonts w:eastAsia="Times New Roman" w:cstheme="minorHAnsi"/>
          <w:i/>
          <w:iCs/>
          <w:color w:val="000000"/>
          <w:kern w:val="0"/>
          <w:sz w:val="28"/>
          <w:szCs w:val="28"/>
          <w:rtl/>
          <w:lang w:eastAsia="it-IT"/>
          <w14:ligatures w14:val="none"/>
        </w:rPr>
        <w:t>الدليل العام لتلقين التعليم المسيحي</w:t>
      </w:r>
      <w:r w:rsidRPr="001F79CF">
        <w:rPr>
          <w:rFonts w:eastAsia="Times New Roman" w:cstheme="minorHAnsi"/>
          <w:color w:val="000000"/>
          <w:kern w:val="0"/>
          <w:sz w:val="28"/>
          <w:szCs w:val="28"/>
          <w:rtl/>
          <w:lang w:eastAsia="it-IT"/>
          <w14:ligatures w14:val="none"/>
        </w:rPr>
        <w:t>، 113).</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lastRenderedPageBreak/>
        <w:t xml:space="preserve">7.     بِبُعْدِ نَظَرْ، أصدر القدّيس بولس السّادس الرّسالة الرسوليّة عن "الخدمات الكنسية" </w:t>
      </w:r>
      <w:r w:rsidRPr="001F79CF">
        <w:rPr>
          <w:rFonts w:eastAsia="Times New Roman" w:cstheme="minorHAnsi"/>
          <w:color w:val="000000"/>
          <w:kern w:val="0"/>
          <w:sz w:val="28"/>
          <w:szCs w:val="28"/>
          <w:lang w:eastAsia="it-IT"/>
          <w14:ligatures w14:val="none"/>
        </w:rPr>
        <w:t>Ministeria quaedam</w:t>
      </w:r>
      <w:r w:rsidRPr="001F79CF">
        <w:rPr>
          <w:rFonts w:eastAsia="Times New Roman" w:cstheme="minorHAnsi"/>
          <w:color w:val="000000"/>
          <w:kern w:val="0"/>
          <w:sz w:val="28"/>
          <w:szCs w:val="28"/>
          <w:rtl/>
          <w:lang w:eastAsia="it-IT"/>
          <w14:ligatures w14:val="none"/>
        </w:rPr>
        <w:t xml:space="preserve"> ليس فقط بقصد التكيف، </w:t>
      </w:r>
      <w:proofErr w:type="gramStart"/>
      <w:r w:rsidRPr="001F79CF">
        <w:rPr>
          <w:rFonts w:eastAsia="Times New Roman" w:cstheme="minorHAnsi"/>
          <w:color w:val="000000"/>
          <w:kern w:val="0"/>
          <w:sz w:val="28"/>
          <w:szCs w:val="28"/>
          <w:rtl/>
          <w:lang w:eastAsia="it-IT"/>
          <w14:ligatures w14:val="none"/>
        </w:rPr>
        <w:t>في ما</w:t>
      </w:r>
      <w:proofErr w:type="gramEnd"/>
      <w:r w:rsidRPr="001F79CF">
        <w:rPr>
          <w:rFonts w:eastAsia="Times New Roman" w:cstheme="minorHAnsi"/>
          <w:color w:val="000000"/>
          <w:kern w:val="0"/>
          <w:sz w:val="28"/>
          <w:szCs w:val="28"/>
          <w:rtl/>
          <w:lang w:eastAsia="it-IT"/>
          <w14:ligatures w14:val="none"/>
        </w:rPr>
        <w:t xml:space="preserve"> يختص بخدمة القارئ والشدياق مع اللّحظة التاريخيّة المتغيّرة (را. الرّسالة البابوية</w:t>
      </w:r>
      <w:r w:rsidRPr="001F79CF">
        <w:rPr>
          <w:rFonts w:eastAsia="Times New Roman" w:cstheme="minorHAnsi"/>
          <w:i/>
          <w:iCs/>
          <w:color w:val="000000"/>
          <w:kern w:val="0"/>
          <w:sz w:val="28"/>
          <w:szCs w:val="28"/>
          <w:rtl/>
          <w:lang w:eastAsia="it-IT"/>
          <w14:ligatures w14:val="none"/>
        </w:rPr>
        <w:t xml:space="preserve">، روح الرّبّ </w:t>
      </w:r>
      <w:r w:rsidRPr="001F79CF">
        <w:rPr>
          <w:rFonts w:eastAsia="Times New Roman" w:cstheme="minorHAnsi"/>
          <w:i/>
          <w:iCs/>
          <w:color w:val="000000"/>
          <w:kern w:val="0"/>
          <w:sz w:val="28"/>
          <w:szCs w:val="28"/>
          <w:lang w:eastAsia="it-IT"/>
          <w14:ligatures w14:val="none"/>
        </w:rPr>
        <w:t>Spiritus Domini</w:t>
      </w:r>
      <w:r w:rsidRPr="001F79CF">
        <w:rPr>
          <w:rFonts w:eastAsia="Times New Roman" w:cstheme="minorHAnsi"/>
          <w:color w:val="000000"/>
          <w:kern w:val="0"/>
          <w:sz w:val="28"/>
          <w:szCs w:val="28"/>
          <w:rtl/>
          <w:lang w:eastAsia="it-IT"/>
          <w14:ligatures w14:val="none"/>
        </w:rPr>
        <w:t xml:space="preserve">)، ولكن أيضًا من أجل حثّ المجالس الأسقفيّة لأن يهتموا بالانتباه إلى خدمات أخرى، بما في ذلك خدمة التّعليم المسيحيّ: "فضلًا عن هذه الخدمات العامة في الكنيسة اللّاتينيّة، لا شيء يمنع المجالس الأسقفيّة من طلب إنشاء خدمات أخرى من الكرسي الرسولي، إذا رأوا، لأسباب خاصة، أنّ إنشاءها ضروريّ أو مفيد للغاية في بلدانهم. مثلًا: خدمة البوّاب، والمعزّم ومعلّم التّعليم المسيحيّ". تكرّرت الدعوة الملحّة نفسها في الإرشاد الرسولي "البشارة بالإنجيل" </w:t>
      </w:r>
      <w:r w:rsidRPr="001F79CF">
        <w:rPr>
          <w:rFonts w:eastAsia="Times New Roman" w:cstheme="minorHAnsi"/>
          <w:color w:val="000000"/>
          <w:kern w:val="0"/>
          <w:sz w:val="28"/>
          <w:szCs w:val="28"/>
          <w:lang w:eastAsia="it-IT"/>
          <w14:ligatures w14:val="none"/>
        </w:rPr>
        <w:t>Evangelii Nuntiandi</w:t>
      </w:r>
      <w:r w:rsidRPr="001F79CF">
        <w:rPr>
          <w:rFonts w:eastAsia="Times New Roman" w:cstheme="minorHAnsi"/>
          <w:color w:val="000000"/>
          <w:kern w:val="0"/>
          <w:sz w:val="28"/>
          <w:szCs w:val="28"/>
          <w:rtl/>
          <w:lang w:eastAsia="it-IT"/>
          <w14:ligatures w14:val="none"/>
        </w:rPr>
        <w:t>  عندما قال إنّه من الضروري معرفة المتطلبات الحاليّة للجماعة المسيحيّة، مع الاستمرار في الأمانة للأصول، فحثّ على إيجاد أشكال جديدة للخدمة من أجل راعويّة متجدّدة: "هذه الخِدَم، تبدو جديدة في الظّاهر، ولكنّها مرتبطة ارتباطًا وثيقًا بالخبرات التي عاشتها الكنيسة في مسار وجودها، - على سبيل المثال تلك الخاصة بمعلّم التّعليم المسيحيّ... هذه خدمات ثمينة لـ "زَرْعِ" الكنيسة، ولحياتها ونموّها، وللقدرة على الإشعاع حولها وعلى البعيدين منها" (القدّيس بولس السّادس، الإرشاد الرسولي</w:t>
      </w:r>
      <w:r w:rsidRPr="001F79CF">
        <w:rPr>
          <w:rFonts w:eastAsia="Times New Roman" w:cstheme="minorHAnsi"/>
          <w:i/>
          <w:iCs/>
          <w:color w:val="000000"/>
          <w:kern w:val="0"/>
          <w:sz w:val="28"/>
          <w:szCs w:val="28"/>
          <w:rtl/>
          <w:lang w:eastAsia="it-IT"/>
          <w14:ligatures w14:val="none"/>
        </w:rPr>
        <w:t xml:space="preserve">، </w:t>
      </w:r>
      <w:r w:rsidRPr="001F79CF">
        <w:rPr>
          <w:rFonts w:eastAsia="Times New Roman" w:cstheme="minorHAnsi"/>
          <w:i/>
          <w:iCs/>
          <w:color w:val="000000"/>
          <w:kern w:val="0"/>
          <w:sz w:val="28"/>
          <w:szCs w:val="28"/>
          <w:lang w:eastAsia="it-IT"/>
          <w14:ligatures w14:val="none"/>
        </w:rPr>
        <w:t>Evangelii Nuntiandi</w:t>
      </w:r>
      <w:r w:rsidRPr="001F79CF">
        <w:rPr>
          <w:rFonts w:eastAsia="Times New Roman" w:cstheme="minorHAnsi"/>
          <w:color w:val="000000"/>
          <w:kern w:val="0"/>
          <w:sz w:val="28"/>
          <w:szCs w:val="28"/>
          <w:rtl/>
          <w:lang w:eastAsia="it-IT"/>
          <w14:ligatures w14:val="none"/>
        </w:rPr>
        <w:t>، 73).</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لذلك، لا يمكن الإنكار أنّه "نما في الكنيسة وعيٌ لهويّة العلماني ورسالته. لدينا عدد كبير من العلمانيّين، مع أنّه غير كافٍ، لديهم شعور جماعيّ متجذّر، وإخلاص كبير لالتزام المحبّة، والتّعليم المسيحيّ والاحتفال بالإيمان" (الارشاد الرسولي، </w:t>
      </w:r>
      <w:r w:rsidRPr="001F79CF">
        <w:rPr>
          <w:rFonts w:eastAsia="Times New Roman" w:cstheme="minorHAnsi"/>
          <w:i/>
          <w:iCs/>
          <w:color w:val="000000"/>
          <w:kern w:val="0"/>
          <w:sz w:val="28"/>
          <w:szCs w:val="28"/>
          <w:rtl/>
          <w:lang w:eastAsia="it-IT"/>
          <w14:ligatures w14:val="none"/>
        </w:rPr>
        <w:t>فرح الإنجيل</w:t>
      </w:r>
      <w:r w:rsidRPr="001F79CF">
        <w:rPr>
          <w:rFonts w:eastAsia="Times New Roman" w:cstheme="minorHAnsi"/>
          <w:color w:val="000000"/>
          <w:kern w:val="0"/>
          <w:sz w:val="28"/>
          <w:szCs w:val="28"/>
          <w:rtl/>
          <w:lang w:eastAsia="it-IT"/>
          <w14:ligatures w14:val="none"/>
        </w:rPr>
        <w:t xml:space="preserve">، 102). ينجم عن ذلك أنّ قبول خدمة علمانيّة، مثل خدمة معلّم التّعليم المسيحيّ، يعطي تأكيدًا أكبر للالتزام </w:t>
      </w:r>
      <w:proofErr w:type="spellStart"/>
      <w:r w:rsidRPr="001F79CF">
        <w:rPr>
          <w:rFonts w:eastAsia="Times New Roman" w:cstheme="minorHAnsi"/>
          <w:color w:val="000000"/>
          <w:kern w:val="0"/>
          <w:sz w:val="28"/>
          <w:szCs w:val="28"/>
          <w:rtl/>
          <w:lang w:eastAsia="it-IT"/>
          <w14:ligatures w14:val="none"/>
        </w:rPr>
        <w:t>الإرساليّ</w:t>
      </w:r>
      <w:proofErr w:type="spellEnd"/>
      <w:r w:rsidRPr="001F79CF">
        <w:rPr>
          <w:rFonts w:eastAsia="Times New Roman" w:cstheme="minorHAnsi"/>
          <w:color w:val="000000"/>
          <w:kern w:val="0"/>
          <w:sz w:val="28"/>
          <w:szCs w:val="28"/>
          <w:rtl/>
          <w:lang w:eastAsia="it-IT"/>
          <w14:ligatures w14:val="none"/>
        </w:rPr>
        <w:t xml:space="preserve"> النّموذجي لكلّ مُعمَّد، والذي يجب أن يُمارس، على أيّ حال، بصورة علمانية كاملة، دون الوقوع في أيّ نوع من التسلط </w:t>
      </w:r>
      <w:proofErr w:type="spellStart"/>
      <w:r w:rsidRPr="001F79CF">
        <w:rPr>
          <w:rFonts w:eastAsia="Times New Roman" w:cstheme="minorHAnsi"/>
          <w:color w:val="000000"/>
          <w:kern w:val="0"/>
          <w:sz w:val="28"/>
          <w:szCs w:val="28"/>
          <w:rtl/>
          <w:lang w:eastAsia="it-IT"/>
          <w14:ligatures w14:val="none"/>
        </w:rPr>
        <w:t>الإكليركي</w:t>
      </w:r>
      <w:proofErr w:type="spellEnd"/>
      <w:r w:rsidRPr="001F79CF">
        <w:rPr>
          <w:rFonts w:eastAsia="Times New Roman" w:cstheme="minorHAnsi"/>
          <w:color w:val="000000"/>
          <w:kern w:val="0"/>
          <w:sz w:val="28"/>
          <w:szCs w:val="28"/>
          <w:rtl/>
          <w:lang w:eastAsia="it-IT"/>
          <w14:ligatures w14:val="none"/>
        </w:rPr>
        <w:t>.</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8.     هذه الخدمة دعوة، فيها دلالة قوية على الدعوة، ومن ثم تتطلّب التمييز اللازم من قِبل الأسقف، ويجب توضيح ذلك في رتبة منح الخدمة. في الواقع، إنّها خدمة ثابتة يتمّ تقديمها إلى الكنيسة المحليّة بحسب الاحتياجات الراعويّة المحدّدة من قبل الرّئيس المحلّي، لكن أداءها يتم على يد العلمانيّين كما تقتضي ذلك طبيعة الخدمة نفسها. مِنَ الجيّد أن يُدعى إلى خدمة التّعليم المسيحيّ بعد إنشائها رجال ونساء، ذوو إيمان عميق ونضج بشري، يشاركون مشاركة فعّالة في حياة الجماعة المسيحيّة، ولهم مقدرة على الاستقبال، والكرم وحياة الشّركة الأخويّة، وأن يتلقّوا التّنشئة الكتابيّة، واللّاهوتيّة، والراعويّة والتربويّة اللّازمة، ليكونوا ناقلين حذرين لحقيقة الإيمان، وأن يكونوا قد نَمّوا من قبل خبرة سابقة في التّعليم المسيحيّ (را. المجمع الفاتيكاني الثاني، </w:t>
      </w:r>
      <w:r w:rsidRPr="001F79CF">
        <w:rPr>
          <w:rFonts w:eastAsia="Times New Roman" w:cstheme="minorHAnsi"/>
          <w:i/>
          <w:iCs/>
          <w:color w:val="000000"/>
          <w:kern w:val="0"/>
          <w:sz w:val="28"/>
          <w:szCs w:val="28"/>
          <w:rtl/>
          <w:lang w:eastAsia="it-IT"/>
          <w14:ligatures w14:val="none"/>
        </w:rPr>
        <w:t xml:space="preserve">قرار مجمعي في مهمّة الاساقفة </w:t>
      </w:r>
      <w:proofErr w:type="gramStart"/>
      <w:r w:rsidRPr="001F79CF">
        <w:rPr>
          <w:rFonts w:eastAsia="Times New Roman" w:cstheme="minorHAnsi"/>
          <w:i/>
          <w:iCs/>
          <w:color w:val="000000"/>
          <w:kern w:val="0"/>
          <w:sz w:val="28"/>
          <w:szCs w:val="28"/>
          <w:rtl/>
          <w:lang w:eastAsia="it-IT"/>
          <w14:ligatures w14:val="none"/>
        </w:rPr>
        <w:t>الراعويّة</w:t>
      </w:r>
      <w:r w:rsidRPr="001F79CF">
        <w:rPr>
          <w:rFonts w:eastAsia="Times New Roman" w:cstheme="minorHAnsi"/>
          <w:color w:val="000000"/>
          <w:kern w:val="0"/>
          <w:sz w:val="28"/>
          <w:szCs w:val="28"/>
          <w:rtl/>
          <w:lang w:eastAsia="it-IT"/>
          <w14:ligatures w14:val="none"/>
        </w:rPr>
        <w:t>،</w:t>
      </w:r>
      <w:r w:rsidRPr="001F79CF">
        <w:rPr>
          <w:rFonts w:eastAsia="Times New Roman" w:cstheme="minorHAnsi"/>
          <w:i/>
          <w:iCs/>
          <w:color w:val="000000"/>
          <w:kern w:val="0"/>
          <w:sz w:val="28"/>
          <w:szCs w:val="28"/>
          <w:lang w:eastAsia="it-IT"/>
          <w14:ligatures w14:val="none"/>
        </w:rPr>
        <w:t>Christus</w:t>
      </w:r>
      <w:proofErr w:type="gramEnd"/>
      <w:r w:rsidRPr="001F79CF">
        <w:rPr>
          <w:rFonts w:eastAsia="Times New Roman" w:cstheme="minorHAnsi"/>
          <w:i/>
          <w:iCs/>
          <w:color w:val="000000"/>
          <w:kern w:val="0"/>
          <w:sz w:val="28"/>
          <w:szCs w:val="28"/>
          <w:lang w:eastAsia="it-IT"/>
          <w14:ligatures w14:val="none"/>
        </w:rPr>
        <w:t xml:space="preserve"> Dominus</w:t>
      </w:r>
      <w:r w:rsidRPr="001F79CF">
        <w:rPr>
          <w:rFonts w:eastAsia="Times New Roman" w:cstheme="minorHAnsi"/>
          <w:i/>
          <w:iCs/>
          <w:color w:val="000000"/>
          <w:kern w:val="0"/>
          <w:sz w:val="28"/>
          <w:szCs w:val="28"/>
          <w:rtl/>
          <w:lang w:eastAsia="it-IT"/>
          <w14:ligatures w14:val="none"/>
        </w:rPr>
        <w:t>،</w:t>
      </w:r>
      <w:r w:rsidRPr="001F79CF">
        <w:rPr>
          <w:rFonts w:eastAsia="Times New Roman" w:cstheme="minorHAnsi"/>
          <w:color w:val="000000"/>
          <w:kern w:val="0"/>
          <w:sz w:val="28"/>
          <w:szCs w:val="28"/>
          <w:rtl/>
          <w:lang w:eastAsia="it-IT"/>
          <w14:ligatures w14:val="none"/>
        </w:rPr>
        <w:t> 14؛ مجموعة الحقّ القانوني اللاتيني، قانون 231§1؛ مجموعة قوانين الكنائس الشرقيّة، قانون 409§1). ويُشترط أن يكونوا معاونين مخلصين للكهنة والشّمامسة، ومستعدّين لممارسة الخدمة عند الضّرورة، وينعشهم اندفاع رسولي حقيقي.</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بناء على ذلك، بعد أن فكرت مليًّا في كلّ وجه من أوجه هذه الخدمة، وبحكم سُلطاني الرّسولي، أُنشِئُ الخدمة العلمانيّة لمعلّم التّعليم المسيحيّ، وسوف يهتمّ "مجمع العبادة الإلهيّة ونظام خدمة الأسرار" قريبًا في نشر رتبة منح الخدمة العلمانيّة لمعلّم التّعليم المسيحيّ.</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9.     لذلك، أدعو المجالس الأسقفيّة إلى تفعيل خدمة معلّمي التّعليم المسيحيّ، وتحديد مسار التنشئة اللازم، والأنظمة اللازمة للوصول إليها، وإيجاد الطرق المنسجمة لأداء الخدمة التي سيتمّ استدعاؤهم للقيام بها، وفقًا لما جاء في هذه الرسالة الرسوليّة.</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lastRenderedPageBreak/>
        <w:t xml:space="preserve">10.يمكن </w:t>
      </w:r>
      <w:proofErr w:type="spellStart"/>
      <w:r w:rsidRPr="001F79CF">
        <w:rPr>
          <w:rFonts w:eastAsia="Times New Roman" w:cstheme="minorHAnsi"/>
          <w:color w:val="000000"/>
          <w:kern w:val="0"/>
          <w:sz w:val="28"/>
          <w:szCs w:val="28"/>
          <w:rtl/>
          <w:lang w:eastAsia="it-IT"/>
          <w14:ligatures w14:val="none"/>
        </w:rPr>
        <w:t>لسينودسات</w:t>
      </w:r>
      <w:proofErr w:type="spellEnd"/>
      <w:r w:rsidRPr="001F79CF">
        <w:rPr>
          <w:rFonts w:eastAsia="Times New Roman" w:cstheme="minorHAnsi"/>
          <w:color w:val="000000"/>
          <w:kern w:val="0"/>
          <w:sz w:val="28"/>
          <w:szCs w:val="28"/>
          <w:rtl/>
          <w:lang w:eastAsia="it-IT"/>
          <w14:ligatures w14:val="none"/>
        </w:rPr>
        <w:t xml:space="preserve"> الكنائس الشرقيّة أو مجالس الأساقفة أن تتبنى ما تمّ تحديده هنا، في كنائسهم ذات الحقّ الخاص، وبناء على القوانين الخاصة بهم. </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11.ليتذكر الرعاة دائما إرشاد آباء المجمع عندما قالوا: "يعلمونَ أنَّ المسيحَ لم يُقمهم ليأخذوا على عاتقهم وحدهم، كلّ رسالة الكنيسة </w:t>
      </w:r>
      <w:proofErr w:type="spellStart"/>
      <w:r w:rsidRPr="001F79CF">
        <w:rPr>
          <w:rFonts w:eastAsia="Times New Roman" w:cstheme="minorHAnsi"/>
          <w:color w:val="000000"/>
          <w:kern w:val="0"/>
          <w:sz w:val="28"/>
          <w:szCs w:val="28"/>
          <w:rtl/>
          <w:lang w:eastAsia="it-IT"/>
          <w14:ligatures w14:val="none"/>
        </w:rPr>
        <w:t>الخلاصية</w:t>
      </w:r>
      <w:proofErr w:type="spellEnd"/>
      <w:r w:rsidRPr="001F79CF">
        <w:rPr>
          <w:rFonts w:eastAsia="Times New Roman" w:cstheme="minorHAnsi"/>
          <w:color w:val="000000"/>
          <w:kern w:val="0"/>
          <w:sz w:val="28"/>
          <w:szCs w:val="28"/>
          <w:rtl/>
          <w:lang w:eastAsia="it-IT"/>
          <w14:ligatures w14:val="none"/>
        </w:rPr>
        <w:t xml:space="preserve"> تجاه العالم. فمهمتهم السامية تقوم بأن يفهموا رسالتهم على أنّهم رعاة للمؤمنين، وأن يعترفوا بالخِدَم والمواهب الخاصة بهم (أي بالمؤمنين) فيتعاون الجميع، وكلٌ حسب إمكانه، لخدمة الخير العام" (</w:t>
      </w:r>
      <w:r w:rsidRPr="001F79CF">
        <w:rPr>
          <w:rFonts w:eastAsia="Times New Roman" w:cstheme="minorHAnsi"/>
          <w:i/>
          <w:iCs/>
          <w:color w:val="000000"/>
          <w:kern w:val="0"/>
          <w:sz w:val="28"/>
          <w:szCs w:val="28"/>
          <w:rtl/>
          <w:lang w:eastAsia="it-IT"/>
          <w14:ligatures w14:val="none"/>
        </w:rPr>
        <w:t>نور الأمم</w:t>
      </w:r>
      <w:r w:rsidRPr="001F79CF">
        <w:rPr>
          <w:rFonts w:eastAsia="Times New Roman" w:cstheme="minorHAnsi"/>
          <w:color w:val="000000"/>
          <w:kern w:val="0"/>
          <w:sz w:val="28"/>
          <w:szCs w:val="28"/>
          <w:rtl/>
          <w:lang w:eastAsia="it-IT"/>
          <w14:ligatures w14:val="none"/>
        </w:rPr>
        <w:t>، 30). لا يكف الرّوح القدس أبدًا عن مساعدة كنيسته على تمييز المواهب فيها. ليكن هذا التمييز لهم السند اللازم لتفعيل خدمة معلّمي التّعليم المسيحيّ، من أجل نموّ الجماعة المؤمنة. </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وبناءً عليه، آمر بأن يكون ما تقرر في هذه الرسالة البابويَّة في صورة براءة بابويّة، ساري المفعول بصورة ثابتة ودائمة، على الرّغم من أي شيء يتعارض معه، حتّى لو كان جديرًا بالملاحظة بصورة خاصّة، وأن يتمّ إعلانه بنشرِه في </w:t>
      </w:r>
      <w:r w:rsidRPr="001F79CF">
        <w:rPr>
          <w:rFonts w:eastAsia="Times New Roman" w:cstheme="minorHAnsi"/>
          <w:color w:val="000000"/>
          <w:kern w:val="0"/>
          <w:sz w:val="28"/>
          <w:szCs w:val="28"/>
          <w:lang w:eastAsia="it-IT"/>
          <w14:ligatures w14:val="none"/>
        </w:rPr>
        <w:t>L’Osservatore Romano</w:t>
      </w:r>
      <w:r w:rsidRPr="001F79CF">
        <w:rPr>
          <w:rFonts w:eastAsia="Times New Roman" w:cstheme="minorHAnsi"/>
          <w:color w:val="000000"/>
          <w:kern w:val="0"/>
          <w:sz w:val="28"/>
          <w:szCs w:val="28"/>
          <w:rtl/>
          <w:lang w:eastAsia="it-IT"/>
          <w14:ligatures w14:val="none"/>
        </w:rPr>
        <w:t xml:space="preserve">، وأن يدخل حيّز التنفيذ يوم صدوره، ومن ثمّ يتمّ نشره في مجموعة التّفسير الرسمي "أعمال الكرسي الرّسولي" </w:t>
      </w:r>
      <w:r w:rsidRPr="001F79CF">
        <w:rPr>
          <w:rFonts w:eastAsia="Times New Roman" w:cstheme="minorHAnsi"/>
          <w:color w:val="000000"/>
          <w:kern w:val="0"/>
          <w:sz w:val="28"/>
          <w:szCs w:val="28"/>
          <w:lang w:eastAsia="it-IT"/>
          <w14:ligatures w14:val="none"/>
        </w:rPr>
        <w:t>Acta Apostolicae Sedis</w:t>
      </w:r>
      <w:r w:rsidRPr="001F79CF">
        <w:rPr>
          <w:rFonts w:eastAsia="Times New Roman" w:cstheme="minorHAnsi"/>
          <w:color w:val="000000"/>
          <w:kern w:val="0"/>
          <w:sz w:val="28"/>
          <w:szCs w:val="28"/>
          <w:rtl/>
          <w:lang w:eastAsia="it-IT"/>
          <w14:ligatures w14:val="none"/>
        </w:rPr>
        <w:t>.</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 xml:space="preserve">أُعطيَ في روما، في </w:t>
      </w:r>
      <w:proofErr w:type="spellStart"/>
      <w:r w:rsidRPr="001F79CF">
        <w:rPr>
          <w:rFonts w:eastAsia="Times New Roman" w:cstheme="minorHAnsi"/>
          <w:color w:val="000000"/>
          <w:kern w:val="0"/>
          <w:sz w:val="28"/>
          <w:szCs w:val="28"/>
          <w:rtl/>
          <w:lang w:eastAsia="it-IT"/>
          <w14:ligatures w14:val="none"/>
        </w:rPr>
        <w:t>بازيليكا</w:t>
      </w:r>
      <w:proofErr w:type="spellEnd"/>
      <w:r w:rsidRPr="001F79CF">
        <w:rPr>
          <w:rFonts w:eastAsia="Times New Roman" w:cstheme="minorHAnsi"/>
          <w:color w:val="000000"/>
          <w:kern w:val="0"/>
          <w:sz w:val="28"/>
          <w:szCs w:val="28"/>
          <w:rtl/>
          <w:lang w:eastAsia="it-IT"/>
          <w14:ligatures w14:val="none"/>
        </w:rPr>
        <w:t xml:space="preserve"> القدّيس يوحنا في </w:t>
      </w:r>
      <w:proofErr w:type="spellStart"/>
      <w:r w:rsidRPr="001F79CF">
        <w:rPr>
          <w:rFonts w:eastAsia="Times New Roman" w:cstheme="minorHAnsi"/>
          <w:color w:val="000000"/>
          <w:kern w:val="0"/>
          <w:sz w:val="28"/>
          <w:szCs w:val="28"/>
          <w:rtl/>
          <w:lang w:eastAsia="it-IT"/>
          <w14:ligatures w14:val="none"/>
        </w:rPr>
        <w:t>اللاتران</w:t>
      </w:r>
      <w:proofErr w:type="spellEnd"/>
      <w:r w:rsidRPr="001F79CF">
        <w:rPr>
          <w:rFonts w:eastAsia="Times New Roman" w:cstheme="minorHAnsi"/>
          <w:color w:val="000000"/>
          <w:kern w:val="0"/>
          <w:sz w:val="28"/>
          <w:szCs w:val="28"/>
          <w:rtl/>
          <w:lang w:eastAsia="it-IT"/>
          <w14:ligatures w14:val="none"/>
        </w:rPr>
        <w:t xml:space="preserve">، يوم 10 مايو/أيّار من العام 2021، في التذكار </w:t>
      </w:r>
      <w:proofErr w:type="spellStart"/>
      <w:r w:rsidRPr="001F79CF">
        <w:rPr>
          <w:rFonts w:eastAsia="Times New Roman" w:cstheme="minorHAnsi"/>
          <w:color w:val="000000"/>
          <w:kern w:val="0"/>
          <w:sz w:val="28"/>
          <w:szCs w:val="28"/>
          <w:rtl/>
          <w:lang w:eastAsia="it-IT"/>
          <w14:ligatures w14:val="none"/>
        </w:rPr>
        <w:t>الليتورجي</w:t>
      </w:r>
      <w:proofErr w:type="spellEnd"/>
      <w:r w:rsidRPr="001F79CF">
        <w:rPr>
          <w:rFonts w:eastAsia="Times New Roman" w:cstheme="minorHAnsi"/>
          <w:color w:val="000000"/>
          <w:kern w:val="0"/>
          <w:sz w:val="28"/>
          <w:szCs w:val="28"/>
          <w:rtl/>
          <w:lang w:eastAsia="it-IT"/>
          <w14:ligatures w14:val="none"/>
        </w:rPr>
        <w:t xml:space="preserve"> للقدّيس يوحنّا </w:t>
      </w:r>
      <w:proofErr w:type="spellStart"/>
      <w:r w:rsidRPr="001F79CF">
        <w:rPr>
          <w:rFonts w:eastAsia="Times New Roman" w:cstheme="minorHAnsi"/>
          <w:color w:val="000000"/>
          <w:kern w:val="0"/>
          <w:sz w:val="28"/>
          <w:szCs w:val="28"/>
          <w:rtl/>
          <w:lang w:eastAsia="it-IT"/>
          <w14:ligatures w14:val="none"/>
        </w:rPr>
        <w:t>الأفيلي</w:t>
      </w:r>
      <w:proofErr w:type="spellEnd"/>
      <w:r w:rsidRPr="001F79CF">
        <w:rPr>
          <w:rFonts w:eastAsia="Times New Roman" w:cstheme="minorHAnsi"/>
          <w:color w:val="000000"/>
          <w:kern w:val="0"/>
          <w:sz w:val="28"/>
          <w:szCs w:val="28"/>
          <w:rtl/>
          <w:lang w:eastAsia="it-IT"/>
          <w14:ligatures w14:val="none"/>
        </w:rPr>
        <w:t>، كاهن ومعلّم في الكنيسة، في السّنة التّاسعة من حبريّتي.</w:t>
      </w:r>
    </w:p>
    <w:p w:rsidR="001F79CF" w:rsidRPr="001F79CF" w:rsidRDefault="001F79CF" w:rsidP="001F79CF">
      <w:pPr>
        <w:bidi/>
        <w:spacing w:before="100" w:beforeAutospacing="1" w:after="100" w:afterAutospacing="1"/>
        <w:rPr>
          <w:rFonts w:eastAsia="Times New Roman" w:cstheme="minorHAnsi"/>
          <w:color w:val="000000"/>
          <w:kern w:val="0"/>
          <w:sz w:val="28"/>
          <w:szCs w:val="28"/>
          <w:rtl/>
          <w:lang w:eastAsia="it-IT"/>
          <w14:ligatures w14:val="none"/>
        </w:rPr>
      </w:pPr>
      <w:r w:rsidRPr="001F79CF">
        <w:rPr>
          <w:rFonts w:eastAsia="Times New Roman" w:cstheme="minorHAnsi"/>
          <w:color w:val="000000"/>
          <w:kern w:val="0"/>
          <w:sz w:val="28"/>
          <w:szCs w:val="28"/>
          <w:rtl/>
          <w:lang w:eastAsia="it-IT"/>
          <w14:ligatures w14:val="none"/>
        </w:rPr>
        <w:t>فرنسيس</w:t>
      </w:r>
    </w:p>
    <w:p w:rsidR="001F79CF" w:rsidRPr="001F79CF" w:rsidRDefault="001F79CF" w:rsidP="001F79CF">
      <w:pPr>
        <w:rPr>
          <w:rFonts w:eastAsia="Times New Roman" w:cstheme="minorHAnsi"/>
          <w:kern w:val="0"/>
          <w:sz w:val="28"/>
          <w:szCs w:val="28"/>
          <w:rtl/>
          <w:lang w:eastAsia="it-IT"/>
          <w14:ligatures w14:val="none"/>
        </w:rPr>
      </w:pPr>
    </w:p>
    <w:p w:rsidR="001F79CF" w:rsidRPr="001F79CF" w:rsidRDefault="001F79CF">
      <w:pPr>
        <w:rPr>
          <w:rFonts w:cstheme="minorHAnsi"/>
          <w:sz w:val="28"/>
          <w:szCs w:val="28"/>
        </w:rPr>
      </w:pPr>
    </w:p>
    <w:sectPr w:rsidR="001F79CF" w:rsidRPr="001F7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CF"/>
    <w:rsid w:val="001F79CF"/>
  </w:rsids>
  <m:mathPr>
    <m:mathFont m:val="Cambria Math"/>
    <m:brkBin m:val="before"/>
    <m:brkBinSub m:val="--"/>
    <m:smallFrac m:val="0"/>
    <m:dispDef/>
    <m:lMargin m:val="0"/>
    <m:rMargin m:val="0"/>
    <m:defJc m:val="centerGroup"/>
    <m:wrapIndent m:val="1440"/>
    <m:intLim m:val="subSup"/>
    <m:naryLim m:val="undOvr"/>
  </m:mathPr>
  <w:themeFontLang w:val="it-EG" w:bidi="ar-SA"/>
  <w:clrSchemeMapping w:bg1="light1" w:t1="dark1" w:bg2="light2" w:t2="dark2" w:accent1="accent1" w:accent2="accent2" w:accent3="accent3" w:accent4="accent4" w:accent5="accent5" w:accent6="accent6" w:hyperlink="hyperlink" w:followedHyperlink="followedHyperlink"/>
  <w:decimalSymbol w:val="."/>
  <w:listSeparator w:val=";"/>
  <w14:docId w14:val="3D186F41"/>
  <w15:chartTrackingRefBased/>
  <w15:docId w15:val="{2A90B934-E53B-864C-BEC2-EB4B306A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E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79CF"/>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1F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Bakhoum</dc:creator>
  <cp:keywords/>
  <dc:description/>
  <cp:lastModifiedBy>Hany Bakhoum</cp:lastModifiedBy>
  <cp:revision>1</cp:revision>
  <dcterms:created xsi:type="dcterms:W3CDTF">2024-05-13T14:44:00Z</dcterms:created>
  <dcterms:modified xsi:type="dcterms:W3CDTF">2024-05-13T14:45:00Z</dcterms:modified>
</cp:coreProperties>
</file>