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D2E" w:rsidRDefault="009E7D2E" w:rsidP="009E7D2E">
      <w:pPr>
        <w:pStyle w:val="Titolo2"/>
        <w:bidi/>
        <w:spacing w:line="240" w:lineRule="auto"/>
        <w:jc w:val="center"/>
        <w:rPr>
          <w:rFonts w:ascii="Simplified Arabic" w:hAnsi="Simplified Arabic" w:cs="Simplified Arabic"/>
          <w:i w:val="0"/>
          <w:iCs w:val="0"/>
          <w:sz w:val="32"/>
          <w:szCs w:val="32"/>
          <w:rtl/>
          <w:lang w:bidi="ar-LB"/>
        </w:rPr>
      </w:pPr>
      <w:bookmarkStart w:id="0" w:name="_Toc441508262"/>
      <w:bookmarkStart w:id="1" w:name="_Toc445065130"/>
      <w:r w:rsidRPr="00A64D0F">
        <w:rPr>
          <w:rFonts w:ascii="Simplified Arabic" w:hAnsi="Simplified Arabic" w:cs="Simplified Arabic"/>
          <w:i w:val="0"/>
          <w:iCs w:val="0"/>
          <w:sz w:val="32"/>
          <w:szCs w:val="32"/>
          <w:rtl/>
          <w:lang w:bidi="ar-LB"/>
        </w:rPr>
        <w:t xml:space="preserve">المحاكمة الزواجيّة الأقصر أمام </w:t>
      </w:r>
      <w:bookmarkEnd w:id="0"/>
      <w:bookmarkEnd w:id="1"/>
      <w:r w:rsidRPr="00A64D0F">
        <w:rPr>
          <w:rFonts w:ascii="Simplified Arabic" w:hAnsi="Simplified Arabic" w:cs="Simplified Arabic"/>
          <w:i w:val="0"/>
          <w:iCs w:val="0"/>
          <w:sz w:val="32"/>
          <w:szCs w:val="32"/>
          <w:rtl/>
          <w:lang w:bidi="ar-LB"/>
        </w:rPr>
        <w:t>الأسقف</w:t>
      </w:r>
    </w:p>
    <w:p w:rsidR="009E7D2E" w:rsidRPr="009E7D2E" w:rsidRDefault="009E7D2E" w:rsidP="009E7D2E">
      <w:pPr>
        <w:pStyle w:val="Titolo3"/>
        <w:bidi/>
        <w:spacing w:line="240" w:lineRule="auto"/>
        <w:ind w:left="26" w:firstLine="618"/>
        <w:jc w:val="both"/>
        <w:rPr>
          <w:rFonts w:ascii="Simplified Arabic" w:hAnsi="Simplified Arabic" w:cs="Simplified Arabic"/>
          <w:sz w:val="32"/>
          <w:szCs w:val="32"/>
          <w:rtl/>
          <w:lang w:bidi="ar-LB"/>
        </w:rPr>
      </w:pPr>
    </w:p>
    <w:p w:rsidR="009E7D2E" w:rsidRDefault="009E7D2E" w:rsidP="009E7D2E">
      <w:pPr>
        <w:pStyle w:val="Titolo3"/>
        <w:bidi/>
        <w:spacing w:line="240" w:lineRule="auto"/>
        <w:ind w:left="26" w:firstLine="618"/>
        <w:jc w:val="both"/>
        <w:rPr>
          <w:rFonts w:ascii="Simplified Arabic" w:hAnsi="Simplified Arabic" w:cs="Simplified Arabic"/>
          <w:sz w:val="32"/>
          <w:szCs w:val="32"/>
          <w:rtl/>
          <w:lang w:bidi="ar-LB"/>
        </w:rPr>
      </w:pPr>
      <w:r w:rsidRPr="009E7D2E">
        <w:rPr>
          <w:rFonts w:ascii="Simplified Arabic" w:hAnsi="Simplified Arabic" w:cs="Simplified Arabic" w:hint="cs"/>
          <w:sz w:val="32"/>
          <w:szCs w:val="32"/>
          <w:rtl/>
          <w:lang w:bidi="ar-LB"/>
        </w:rPr>
        <w:t xml:space="preserve">بناءً على الإرادة الرسوليّة "يسوع العطوف الرحوم" التي أصدرها قداسة البابا فرنسيس في 15 </w:t>
      </w:r>
      <w:r>
        <w:rPr>
          <w:rFonts w:ascii="Simplified Arabic" w:hAnsi="Simplified Arabic" w:cs="Simplified Arabic" w:hint="cs"/>
          <w:sz w:val="32"/>
          <w:szCs w:val="32"/>
          <w:rtl/>
          <w:lang w:bidi="ar-LB"/>
        </w:rPr>
        <w:t>اغسطس</w:t>
      </w:r>
      <w:r w:rsidRPr="009E7D2E">
        <w:rPr>
          <w:rFonts w:ascii="Simplified Arabic" w:hAnsi="Simplified Arabic" w:cs="Simplified Arabic" w:hint="cs"/>
          <w:sz w:val="32"/>
          <w:szCs w:val="32"/>
          <w:rtl/>
          <w:lang w:bidi="ar-LB"/>
        </w:rPr>
        <w:t xml:space="preserve"> 2015، حول إصلاح أصول المحاكمات القانونيّة في دعاوى إعلان بطلان الزواج في مجموعة قوانين الكنائس الشرقيّة</w:t>
      </w:r>
      <w:r>
        <w:rPr>
          <w:rFonts w:ascii="Simplified Arabic" w:hAnsi="Simplified Arabic" w:cs="Simplified Arabic" w:hint="cs"/>
          <w:sz w:val="32"/>
          <w:szCs w:val="32"/>
          <w:rtl/>
          <w:lang w:bidi="ar-LB"/>
        </w:rPr>
        <w:t>.</w:t>
      </w:r>
    </w:p>
    <w:p w:rsidR="009E7D2E" w:rsidRPr="00A64D0F" w:rsidRDefault="009E7D2E" w:rsidP="009E7D2E">
      <w:pPr>
        <w:pStyle w:val="Titolo3"/>
        <w:bidi/>
        <w:spacing w:line="240" w:lineRule="auto"/>
        <w:ind w:left="26" w:firstLine="618"/>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LB"/>
        </w:rPr>
        <w:t>1. الأسباب والظروف</w:t>
      </w:r>
    </w:p>
    <w:p w:rsidR="009E7D2E" w:rsidRPr="00A64D0F" w:rsidRDefault="009E7D2E" w:rsidP="009E7D2E">
      <w:pPr>
        <w:pStyle w:val="Titolo3"/>
        <w:bidi/>
        <w:spacing w:line="240" w:lineRule="auto"/>
        <w:ind w:left="26" w:firstLine="618"/>
        <w:jc w:val="both"/>
        <w:rPr>
          <w:rFonts w:ascii="Simplified Arabic" w:hAnsi="Simplified Arabic" w:cs="Simplified Arabic"/>
          <w:b w:val="0"/>
          <w:bCs w:val="0"/>
          <w:sz w:val="32"/>
          <w:szCs w:val="32"/>
          <w:rtl/>
          <w:lang w:bidi="ar-LB"/>
        </w:rPr>
      </w:pPr>
      <w:r w:rsidRPr="00A64D0F">
        <w:rPr>
          <w:rFonts w:ascii="Simplified Arabic" w:hAnsi="Simplified Arabic" w:cs="Simplified Arabic"/>
          <w:b w:val="0"/>
          <w:bCs w:val="0"/>
          <w:sz w:val="32"/>
          <w:szCs w:val="32"/>
          <w:rtl/>
          <w:lang w:bidi="ar-LB"/>
        </w:rPr>
        <w:t>يمكن إعلان بطلان الزواج الكنسي بالمحاكمة الأقصر عندما تتوفّر المعطيات والظروف والإثباتات الكافية لإعلانه، من دون ضرورة إلى التحقيق الإضافي والتقيّد بكلّ أصول المحاكمة العاديّة. تشدّد الإرادة الرسوليّة على واجب المطران الأبرشي بأن يمارس بنفسه سلطانه القضائي في مثل هذه المحاكمة بحكم خدمته الراعوية. إن تدخّله في إعلان صحّة الزواج أو بطلانه هو الضمانة لسلامة العدالة ولإحقاق الحقّ ولتلافي التراخي في إصدار الأحكام ببطلان سرّ الزواج المقدّس</w:t>
      </w:r>
      <w:r w:rsidRPr="00A64D0F">
        <w:rPr>
          <w:rStyle w:val="Rimandonotaapidipagina"/>
          <w:rFonts w:ascii="Simplified Arabic" w:hAnsi="Simplified Arabic" w:cs="Simplified Arabic"/>
          <w:b w:val="0"/>
          <w:bCs w:val="0"/>
          <w:sz w:val="32"/>
          <w:szCs w:val="32"/>
          <w:rtl/>
          <w:lang w:bidi="ar-LB"/>
        </w:rPr>
        <w:footnoteReference w:id="1"/>
      </w:r>
      <w:r w:rsidRPr="00A64D0F">
        <w:rPr>
          <w:rFonts w:ascii="Simplified Arabic" w:hAnsi="Simplified Arabic" w:cs="Simplified Arabic"/>
          <w:b w:val="0"/>
          <w:bCs w:val="0"/>
          <w:sz w:val="32"/>
          <w:szCs w:val="32"/>
          <w:rtl/>
          <w:lang w:bidi="ar-LB"/>
        </w:rPr>
        <w:t xml:space="preserve">. لكي تجري المحاكمة الأقصر، يجب أن يتقدّم بالطلب الزوجان أو أحدهما بموافقة الآخر، وأن تتوفّر </w:t>
      </w:r>
      <w:r w:rsidRPr="00A64D0F">
        <w:rPr>
          <w:rFonts w:ascii="Simplified Arabic" w:hAnsi="Simplified Arabic" w:cs="Simplified Arabic"/>
          <w:sz w:val="32"/>
          <w:szCs w:val="32"/>
          <w:rtl/>
          <w:lang w:bidi="ar-LB"/>
        </w:rPr>
        <w:t xml:space="preserve">ظروف ووقائع وأشخاص </w:t>
      </w:r>
      <w:r w:rsidRPr="00A64D0F">
        <w:rPr>
          <w:rFonts w:ascii="Simplified Arabic" w:hAnsi="Simplified Arabic" w:cs="Simplified Arabic"/>
          <w:b w:val="0"/>
          <w:bCs w:val="0"/>
          <w:sz w:val="32"/>
          <w:szCs w:val="32"/>
          <w:rtl/>
          <w:lang w:bidi="ar-LB"/>
        </w:rPr>
        <w:t>معزّزة بشهادات أو وثائق لا تحتاج إلى تحقيق أدقّ</w:t>
      </w:r>
      <w:r w:rsidRPr="00A64D0F">
        <w:rPr>
          <w:rStyle w:val="Rimandonotaapidipagina"/>
          <w:rFonts w:ascii="Simplified Arabic" w:hAnsi="Simplified Arabic" w:cs="Simplified Arabic"/>
          <w:b w:val="0"/>
          <w:bCs w:val="0"/>
          <w:sz w:val="32"/>
          <w:szCs w:val="32"/>
          <w:rtl/>
          <w:lang w:bidi="ar-LB"/>
        </w:rPr>
        <w:footnoteReference w:id="2"/>
      </w:r>
      <w:r w:rsidRPr="00A64D0F">
        <w:rPr>
          <w:rFonts w:ascii="Simplified Arabic" w:hAnsi="Simplified Arabic" w:cs="Simplified Arabic"/>
          <w:b w:val="0"/>
          <w:bCs w:val="0"/>
          <w:sz w:val="32"/>
          <w:szCs w:val="32"/>
          <w:rtl/>
          <w:lang w:bidi="ar-LB"/>
        </w:rPr>
        <w:t>. وذلك من خلال عريضة رسميّة تتضمّن العناصر القانونيّة التي يحدّدها القانون 1370 من الإرادة الرسوليّة.</w:t>
      </w:r>
    </w:p>
    <w:p w:rsidR="009E7D2E" w:rsidRPr="00A64D0F" w:rsidRDefault="009E7D2E" w:rsidP="009E7D2E">
      <w:pPr>
        <w:bidi/>
        <w:spacing w:line="240" w:lineRule="auto"/>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LB"/>
        </w:rPr>
        <w:t xml:space="preserve">تعدّد الإرادة الرسوليّة في المادة 14 من قسم "القواعد"، الظروف </w:t>
      </w:r>
      <w:r w:rsidRPr="00A64D0F">
        <w:rPr>
          <w:rFonts w:ascii="Simplified Arabic" w:hAnsi="Simplified Arabic" w:cs="Simplified Arabic"/>
          <w:b/>
          <w:bCs/>
          <w:sz w:val="32"/>
          <w:szCs w:val="32"/>
          <w:rtl/>
          <w:lang w:bidi="ar-LB"/>
        </w:rPr>
        <w:t xml:space="preserve">التي يمكن أن تسمح بالمحاكمة الأقصر. </w:t>
      </w:r>
      <w:r w:rsidRPr="00A64D0F">
        <w:rPr>
          <w:rFonts w:ascii="Simplified Arabic" w:hAnsi="Simplified Arabic" w:cs="Simplified Arabic"/>
          <w:sz w:val="32"/>
          <w:szCs w:val="32"/>
          <w:rtl/>
          <w:lang w:bidi="ar-LB"/>
        </w:rPr>
        <w:t>ليست هذه الظروف أسبابًا جديدة ومستحدثة لبطلان الزواج، بل هي ذات قيمة تساعد بدلالاتها على التثبّت من سبب بطلان الزواج المقدّم في الدعوى، بما توفّر من أرجحية لصالح الادّعاء. وهي تسعة على سبيل المثال لا الحصر.</w:t>
      </w:r>
    </w:p>
    <w:p w:rsidR="009E7D2E" w:rsidRPr="00A64D0F" w:rsidRDefault="009E7D2E" w:rsidP="009E7D2E">
      <w:pPr>
        <w:bidi/>
        <w:spacing w:line="240" w:lineRule="auto"/>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LB"/>
        </w:rPr>
        <w:lastRenderedPageBreak/>
        <w:t xml:space="preserve">1) </w:t>
      </w:r>
      <w:r w:rsidRPr="00A64D0F">
        <w:rPr>
          <w:rFonts w:ascii="Simplified Arabic" w:hAnsi="Simplified Arabic" w:cs="Simplified Arabic"/>
          <w:b/>
          <w:bCs/>
          <w:sz w:val="32"/>
          <w:szCs w:val="32"/>
          <w:rtl/>
          <w:lang w:bidi="ar-LB"/>
        </w:rPr>
        <w:t>النقص في الإيمان</w:t>
      </w:r>
      <w:r w:rsidRPr="00A64D0F">
        <w:rPr>
          <w:rFonts w:ascii="Simplified Arabic" w:hAnsi="Simplified Arabic" w:cs="Simplified Arabic"/>
          <w:sz w:val="32"/>
          <w:szCs w:val="32"/>
          <w:rtl/>
          <w:lang w:bidi="ar-LB"/>
        </w:rPr>
        <w:t xml:space="preserve"> يمكن أن يؤدّي إلى التلجئة في الرضى أو الغلط أو الجهل، في </w:t>
      </w:r>
      <w:r w:rsidRPr="00A64D0F">
        <w:rPr>
          <w:rFonts w:ascii="Simplified Arabic" w:hAnsi="Simplified Arabic" w:cs="Simplified Arabic"/>
          <w:sz w:val="32"/>
          <w:szCs w:val="32"/>
          <w:rtl/>
          <w:lang w:bidi="ar-EG"/>
        </w:rPr>
        <w:t>ما يخصّ وحدة الزواج أو ديمومته أو كرامته كسرّ مقدّس او إحدى حلاه الرئيسيّة وأهدافه</w:t>
      </w:r>
      <w:r w:rsidRPr="00A64D0F">
        <w:rPr>
          <w:rStyle w:val="Rimandonotaapidipagina"/>
          <w:rFonts w:ascii="Simplified Arabic" w:hAnsi="Simplified Arabic" w:cs="Simplified Arabic"/>
          <w:sz w:val="32"/>
          <w:szCs w:val="32"/>
          <w:rtl/>
          <w:lang w:bidi="ar-EG"/>
        </w:rPr>
        <w:footnoteReference w:id="3"/>
      </w:r>
      <w:r w:rsidRPr="00A64D0F">
        <w:rPr>
          <w:rFonts w:ascii="Simplified Arabic" w:hAnsi="Simplified Arabic" w:cs="Simplified Arabic"/>
          <w:sz w:val="32"/>
          <w:szCs w:val="32"/>
          <w:rtl/>
          <w:lang w:bidi="ar-EG"/>
        </w:rPr>
        <w:t>. هذا النقص يؤدّي غالبًا إلى معرفة خاطئة للسرّ وللواجبات الزوجيّة، ويُحدث بالتالي جهلًا أو غلطًا من شأنه أن يُحِدّ من الإرادة ويؤثّر عليها، فيشكّل عيبًا مبطلًا في الرضى الزواجي</w:t>
      </w:r>
      <w:r w:rsidRPr="00A64D0F">
        <w:rPr>
          <w:rStyle w:val="Rimandonotaapidipagina"/>
          <w:rFonts w:ascii="Simplified Arabic" w:hAnsi="Simplified Arabic" w:cs="Simplified Arabic"/>
          <w:sz w:val="32"/>
          <w:szCs w:val="32"/>
          <w:rtl/>
          <w:lang w:bidi="ar-EG"/>
        </w:rPr>
        <w:footnoteReference w:id="4"/>
      </w:r>
      <w:r w:rsidRPr="00A64D0F">
        <w:rPr>
          <w:rFonts w:ascii="Simplified Arabic" w:hAnsi="Simplified Arabic" w:cs="Simplified Arabic"/>
          <w:sz w:val="32"/>
          <w:szCs w:val="32"/>
          <w:rtl/>
          <w:lang w:bidi="ar-EG"/>
        </w:rPr>
        <w:t>. إنّ جهل خصائص الزواج في مجتمعنا يتأتّى غالبًا من الروح العلمانيّة وقلّة الثقافة الدينيّة، وعدم الممارسة الأسراريّة والليتورجيّة، وتفشّي الروح المادّية والاستهلاكيّة.</w:t>
      </w:r>
    </w:p>
    <w:p w:rsidR="009E7D2E" w:rsidRPr="00A64D0F" w:rsidRDefault="009E7D2E" w:rsidP="009E7D2E">
      <w:pPr>
        <w:bidi/>
        <w:spacing w:line="240" w:lineRule="auto"/>
        <w:ind w:right="-9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EG"/>
        </w:rPr>
        <w:t xml:space="preserve">2) </w:t>
      </w:r>
      <w:r w:rsidRPr="00A64D0F">
        <w:rPr>
          <w:rFonts w:ascii="Simplified Arabic" w:hAnsi="Simplified Arabic" w:cs="Simplified Arabic"/>
          <w:b/>
          <w:bCs/>
          <w:sz w:val="32"/>
          <w:szCs w:val="32"/>
          <w:rtl/>
          <w:lang w:bidi="ar-EG"/>
        </w:rPr>
        <w:t>قصر فترة المساكنة الزوجيّة</w:t>
      </w:r>
      <w:r w:rsidRPr="00A64D0F">
        <w:rPr>
          <w:rFonts w:ascii="Simplified Arabic" w:hAnsi="Simplified Arabic" w:cs="Simplified Arabic"/>
          <w:sz w:val="32"/>
          <w:szCs w:val="32"/>
          <w:rtl/>
          <w:lang w:bidi="ar-EG"/>
        </w:rPr>
        <w:t xml:space="preserve"> قد يكون علامة لبطلان الزواج بداعي أحد الأسباب التالية: كالتلجئة الكاملة بالزواج أو التلجئة بحلية الديمومة أو سبب من الأسباب النفسيّة</w:t>
      </w:r>
      <w:r w:rsidRPr="00A64D0F">
        <w:rPr>
          <w:rStyle w:val="Rimandonotaapidipagina"/>
          <w:rFonts w:ascii="Simplified Arabic" w:hAnsi="Simplified Arabic" w:cs="Simplified Arabic"/>
          <w:sz w:val="32"/>
          <w:szCs w:val="32"/>
          <w:rtl/>
          <w:lang w:bidi="ar-EG"/>
        </w:rPr>
        <w:footnoteReference w:id="5"/>
      </w:r>
      <w:r w:rsidRPr="00A64D0F">
        <w:rPr>
          <w:rFonts w:ascii="Simplified Arabic" w:hAnsi="Simplified Arabic" w:cs="Simplified Arabic"/>
          <w:sz w:val="32"/>
          <w:szCs w:val="32"/>
          <w:rtl/>
          <w:lang w:bidi="ar-EG"/>
        </w:rPr>
        <w:t>، أو ردّة فعل على غلط في الشخص أو في صفة أساسيّة من صفاته</w:t>
      </w:r>
      <w:r w:rsidRPr="00A64D0F">
        <w:rPr>
          <w:rStyle w:val="Rimandonotaapidipagina"/>
          <w:rFonts w:ascii="Simplified Arabic" w:hAnsi="Simplified Arabic" w:cs="Simplified Arabic"/>
          <w:sz w:val="32"/>
          <w:szCs w:val="32"/>
          <w:rtl/>
          <w:lang w:bidi="ar-EG"/>
        </w:rPr>
        <w:footnoteReference w:id="6"/>
      </w:r>
      <w:r w:rsidRPr="00A64D0F">
        <w:rPr>
          <w:rFonts w:ascii="Simplified Arabic" w:hAnsi="Simplified Arabic" w:cs="Simplified Arabic"/>
          <w:sz w:val="32"/>
          <w:szCs w:val="32"/>
          <w:rtl/>
          <w:lang w:bidi="ar-EG"/>
        </w:rPr>
        <w:t>، أو على عدم تحقيق شرط</w:t>
      </w:r>
      <w:r w:rsidRPr="00A64D0F">
        <w:rPr>
          <w:rStyle w:val="Rimandonotaapidipagina"/>
          <w:rFonts w:ascii="Simplified Arabic" w:hAnsi="Simplified Arabic" w:cs="Simplified Arabic"/>
          <w:sz w:val="32"/>
          <w:szCs w:val="32"/>
          <w:rtl/>
          <w:lang w:bidi="ar-EG"/>
        </w:rPr>
        <w:footnoteReference w:id="7"/>
      </w:r>
      <w:r w:rsidRPr="00A64D0F">
        <w:rPr>
          <w:rFonts w:ascii="Simplified Arabic" w:hAnsi="Simplified Arabic" w:cs="Simplified Arabic"/>
          <w:sz w:val="32"/>
          <w:szCs w:val="32"/>
          <w:rtl/>
          <w:lang w:bidi="ar-EG"/>
        </w:rPr>
        <w:t xml:space="preserve"> أو على حصول غش</w:t>
      </w:r>
      <w:r w:rsidRPr="00A64D0F">
        <w:rPr>
          <w:rStyle w:val="Rimandonotaapidipagina"/>
          <w:rFonts w:ascii="Simplified Arabic" w:hAnsi="Simplified Arabic" w:cs="Simplified Arabic"/>
          <w:sz w:val="32"/>
          <w:szCs w:val="32"/>
          <w:rtl/>
          <w:lang w:bidi="ar-EG"/>
        </w:rPr>
        <w:footnoteReference w:id="8"/>
      </w:r>
      <w:r w:rsidRPr="00A64D0F">
        <w:rPr>
          <w:rFonts w:ascii="Simplified Arabic" w:hAnsi="Simplified Arabic" w:cs="Simplified Arabic"/>
          <w:sz w:val="32"/>
          <w:szCs w:val="32"/>
          <w:rtl/>
          <w:lang w:bidi="ar-EG"/>
        </w:rPr>
        <w:t>، أو على ظهور مرض نفسي يجعل الحياة الزوجيّة صعبة بل مستحيلة</w:t>
      </w:r>
      <w:r w:rsidRPr="00A64D0F">
        <w:rPr>
          <w:rStyle w:val="Rimandonotaapidipagina"/>
          <w:rFonts w:ascii="Simplified Arabic" w:hAnsi="Simplified Arabic" w:cs="Simplified Arabic"/>
          <w:sz w:val="32"/>
          <w:szCs w:val="32"/>
          <w:rtl/>
          <w:lang w:bidi="ar-EG"/>
        </w:rPr>
        <w:footnoteReference w:id="9"/>
      </w:r>
      <w:r w:rsidRPr="00A64D0F">
        <w:rPr>
          <w:rFonts w:ascii="Simplified Arabic" w:hAnsi="Simplified Arabic" w:cs="Simplified Arabic"/>
          <w:sz w:val="32"/>
          <w:szCs w:val="32"/>
          <w:rtl/>
          <w:lang w:bidi="ar-EG"/>
        </w:rPr>
        <w:t>. لا تكفي فترة الحياة الزوجيّة القصيرة وحدها لإعلان بطلان الزواج فهي مجرّد علامة ذات قيمة للرضى الزوجي.</w:t>
      </w:r>
    </w:p>
    <w:p w:rsidR="009E7D2E" w:rsidRPr="00A64D0F" w:rsidRDefault="009E7D2E" w:rsidP="009E7D2E">
      <w:pPr>
        <w:bidi/>
        <w:spacing w:line="240" w:lineRule="auto"/>
        <w:ind w:right="-90"/>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EG"/>
        </w:rPr>
        <w:t xml:space="preserve">3) </w:t>
      </w:r>
      <w:r w:rsidRPr="00A64D0F">
        <w:rPr>
          <w:rFonts w:ascii="Simplified Arabic" w:hAnsi="Simplified Arabic" w:cs="Simplified Arabic"/>
          <w:b/>
          <w:bCs/>
          <w:sz w:val="32"/>
          <w:szCs w:val="32"/>
          <w:rtl/>
          <w:lang w:bidi="ar-EG"/>
        </w:rPr>
        <w:t>الإجهاض المتعمّد</w:t>
      </w:r>
      <w:r w:rsidRPr="00A64D0F">
        <w:rPr>
          <w:rFonts w:ascii="Simplified Arabic" w:hAnsi="Simplified Arabic" w:cs="Simplified Arabic"/>
          <w:sz w:val="32"/>
          <w:szCs w:val="32"/>
          <w:rtl/>
          <w:lang w:bidi="ar-EG"/>
        </w:rPr>
        <w:t xml:space="preserve"> لمنع الإنجاب قد يدلّ على التلجئة في حلية الإنجاب</w:t>
      </w:r>
      <w:r w:rsidRPr="00A64D0F">
        <w:rPr>
          <w:rStyle w:val="Rimandonotaapidipagina"/>
          <w:rFonts w:ascii="Simplified Arabic" w:hAnsi="Simplified Arabic" w:cs="Simplified Arabic"/>
          <w:sz w:val="32"/>
          <w:szCs w:val="32"/>
          <w:rtl/>
          <w:lang w:bidi="ar-EG"/>
        </w:rPr>
        <w:footnoteReference w:id="10"/>
      </w:r>
      <w:r w:rsidRPr="00A64D0F">
        <w:rPr>
          <w:rFonts w:ascii="Simplified Arabic" w:hAnsi="Simplified Arabic" w:cs="Simplified Arabic"/>
          <w:sz w:val="32"/>
          <w:szCs w:val="32"/>
          <w:rtl/>
          <w:lang w:bidi="ar-EG"/>
        </w:rPr>
        <w:t>، وعلى ابتعاد الشخص عن تعليم الكنيسة الأخلاقي وجهله له، وعلى نقص في الإيمان وعدم الخضوع لشريعة الإنجيل والكنيسة. وقد يثبت النيّة المبطّنة بعدم الإنجاب ولكن لا يكفي وحده ليثبت التلجئة.</w:t>
      </w:r>
    </w:p>
    <w:p w:rsidR="009E7D2E" w:rsidRPr="00A64D0F" w:rsidRDefault="009E7D2E" w:rsidP="009E7D2E">
      <w:pPr>
        <w:bidi/>
        <w:spacing w:line="240" w:lineRule="auto"/>
        <w:ind w:right="-9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LB"/>
        </w:rPr>
        <w:t xml:space="preserve">4) </w:t>
      </w:r>
      <w:r w:rsidRPr="00A64D0F">
        <w:rPr>
          <w:rFonts w:ascii="Simplified Arabic" w:hAnsi="Simplified Arabic" w:cs="Simplified Arabic"/>
          <w:b/>
          <w:bCs/>
          <w:sz w:val="32"/>
          <w:szCs w:val="32"/>
          <w:rtl/>
          <w:lang w:bidi="ar-EG"/>
        </w:rPr>
        <w:t>الاستمرار العنيد</w:t>
      </w:r>
      <w:r w:rsidRPr="00A64D0F">
        <w:rPr>
          <w:rFonts w:ascii="Simplified Arabic" w:hAnsi="Simplified Arabic" w:cs="Simplified Arabic"/>
          <w:sz w:val="32"/>
          <w:szCs w:val="32"/>
          <w:rtl/>
          <w:lang w:bidi="ar-EG"/>
        </w:rPr>
        <w:t xml:space="preserve"> </w:t>
      </w:r>
      <w:r w:rsidRPr="00A64D0F">
        <w:rPr>
          <w:rFonts w:ascii="Simplified Arabic" w:hAnsi="Simplified Arabic" w:cs="Simplified Arabic"/>
          <w:b/>
          <w:bCs/>
          <w:sz w:val="32"/>
          <w:szCs w:val="32"/>
          <w:rtl/>
          <w:lang w:bidi="ar-EG"/>
        </w:rPr>
        <w:t>في علاقة حميمة خارج الزواج</w:t>
      </w:r>
      <w:r w:rsidRPr="00A64D0F">
        <w:rPr>
          <w:rFonts w:ascii="Simplified Arabic" w:hAnsi="Simplified Arabic" w:cs="Simplified Arabic"/>
          <w:sz w:val="32"/>
          <w:szCs w:val="32"/>
          <w:rtl/>
          <w:lang w:bidi="ar-EG"/>
        </w:rPr>
        <w:t xml:space="preserve"> قد يكون علامة واضحة للتلجئة بحلية الأمانة الزوجيّة ووحدة الزواج الكاثوليكي</w:t>
      </w:r>
      <w:r w:rsidRPr="00A64D0F">
        <w:rPr>
          <w:rStyle w:val="Rimandonotaapidipagina"/>
          <w:rFonts w:ascii="Simplified Arabic" w:hAnsi="Simplified Arabic" w:cs="Simplified Arabic"/>
          <w:sz w:val="32"/>
          <w:szCs w:val="32"/>
          <w:rtl/>
          <w:lang w:bidi="ar-EG"/>
        </w:rPr>
        <w:footnoteReference w:id="11"/>
      </w:r>
      <w:r w:rsidRPr="00A64D0F">
        <w:rPr>
          <w:rFonts w:ascii="Simplified Arabic" w:hAnsi="Simplified Arabic" w:cs="Simplified Arabic"/>
          <w:sz w:val="32"/>
          <w:szCs w:val="32"/>
          <w:rtl/>
          <w:lang w:bidi="ar-EG"/>
        </w:rPr>
        <w:t xml:space="preserve">. هذا النوع من التصرّف يترافق عادةً مع رفض </w:t>
      </w:r>
      <w:r w:rsidRPr="00A64D0F">
        <w:rPr>
          <w:rFonts w:ascii="Simplified Arabic" w:hAnsi="Simplified Arabic" w:cs="Simplified Arabic"/>
          <w:sz w:val="32"/>
          <w:szCs w:val="32"/>
          <w:rtl/>
          <w:lang w:bidi="ar-EG"/>
        </w:rPr>
        <w:lastRenderedPageBreak/>
        <w:t>القيام بالواجبات الزوجيّة الحميمة التي تشكّل حقًّا لكلّ من الزوجَين على الزوج الآخر. لإثبات هذا التصرف يمكن الاعتماد على أقوال شهود ومراسلات او مخابرات هاتفيّة وتصريحات في زمن غير مشبوه.</w:t>
      </w:r>
    </w:p>
    <w:p w:rsidR="009E7D2E" w:rsidRPr="00A64D0F" w:rsidRDefault="009E7D2E" w:rsidP="009E7D2E">
      <w:pPr>
        <w:bidi/>
        <w:spacing w:line="240" w:lineRule="auto"/>
        <w:ind w:right="-9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EG"/>
        </w:rPr>
        <w:t xml:space="preserve">5) </w:t>
      </w:r>
      <w:r w:rsidRPr="00A64D0F">
        <w:rPr>
          <w:rFonts w:ascii="Simplified Arabic" w:hAnsi="Simplified Arabic" w:cs="Simplified Arabic"/>
          <w:b/>
          <w:bCs/>
          <w:sz w:val="32"/>
          <w:szCs w:val="32"/>
          <w:rtl/>
          <w:lang w:bidi="ar-EG"/>
        </w:rPr>
        <w:t>إخفاء عقم أو مرض معدٍ</w:t>
      </w:r>
      <w:r w:rsidRPr="00A64D0F">
        <w:rPr>
          <w:rFonts w:ascii="Simplified Arabic" w:hAnsi="Simplified Arabic" w:cs="Simplified Arabic"/>
          <w:sz w:val="32"/>
          <w:szCs w:val="32"/>
          <w:rtl/>
          <w:lang w:bidi="ar-EG"/>
        </w:rPr>
        <w:t xml:space="preserve"> أو </w:t>
      </w:r>
      <w:r w:rsidRPr="00A64D0F">
        <w:rPr>
          <w:rFonts w:ascii="Simplified Arabic" w:hAnsi="Simplified Arabic" w:cs="Simplified Arabic"/>
          <w:b/>
          <w:bCs/>
          <w:sz w:val="32"/>
          <w:szCs w:val="32"/>
          <w:rtl/>
          <w:lang w:bidi="ar-EG"/>
        </w:rPr>
        <w:t>وجود أولاد</w:t>
      </w:r>
      <w:r w:rsidRPr="00A64D0F">
        <w:rPr>
          <w:rFonts w:ascii="Simplified Arabic" w:hAnsi="Simplified Arabic" w:cs="Simplified Arabic"/>
          <w:sz w:val="32"/>
          <w:szCs w:val="32"/>
          <w:rtl/>
          <w:lang w:bidi="ar-EG"/>
        </w:rPr>
        <w:t xml:space="preserve"> من علاقة سابقة أو </w:t>
      </w:r>
      <w:r w:rsidRPr="00A64D0F">
        <w:rPr>
          <w:rFonts w:ascii="Simplified Arabic" w:hAnsi="Simplified Arabic" w:cs="Simplified Arabic"/>
          <w:b/>
          <w:bCs/>
          <w:sz w:val="32"/>
          <w:szCs w:val="32"/>
          <w:rtl/>
          <w:lang w:bidi="ar-EG"/>
        </w:rPr>
        <w:t>سجن</w:t>
      </w:r>
      <w:r w:rsidRPr="00A64D0F">
        <w:rPr>
          <w:rFonts w:ascii="Simplified Arabic" w:hAnsi="Simplified Arabic" w:cs="Simplified Arabic"/>
          <w:sz w:val="32"/>
          <w:szCs w:val="32"/>
          <w:rtl/>
          <w:lang w:bidi="ar-EG"/>
        </w:rPr>
        <w:t xml:space="preserve"> قد يدلّ على خداع وغش وغلط في صفة من صفات الشخص الأساسيّة</w:t>
      </w:r>
      <w:r w:rsidRPr="00A64D0F">
        <w:rPr>
          <w:rStyle w:val="Rimandonotaapidipagina"/>
          <w:rFonts w:ascii="Simplified Arabic" w:hAnsi="Simplified Arabic" w:cs="Simplified Arabic"/>
          <w:sz w:val="32"/>
          <w:szCs w:val="32"/>
          <w:rtl/>
          <w:lang w:bidi="ar-EG"/>
        </w:rPr>
        <w:footnoteReference w:id="12"/>
      </w:r>
      <w:r w:rsidRPr="00A64D0F">
        <w:rPr>
          <w:rFonts w:ascii="Simplified Arabic" w:hAnsi="Simplified Arabic" w:cs="Simplified Arabic"/>
          <w:sz w:val="32"/>
          <w:szCs w:val="32"/>
          <w:rtl/>
          <w:lang w:bidi="ar-EG"/>
        </w:rPr>
        <w:t>. يثبت هذا التصرّف بمستندات طبّية أو أحكام وقرارات قضائيّة أو إفادات أحوال شخصيّة مدنيّة أو كنسيّة أو أقوال شهود ثقة مميّزين.</w:t>
      </w:r>
    </w:p>
    <w:p w:rsidR="009E7D2E" w:rsidRPr="00A64D0F" w:rsidRDefault="009E7D2E" w:rsidP="009E7D2E">
      <w:pPr>
        <w:bidi/>
        <w:spacing w:line="240" w:lineRule="auto"/>
        <w:ind w:left="-154" w:right="-9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LB"/>
        </w:rPr>
        <w:t xml:space="preserve">6) </w:t>
      </w:r>
      <w:r w:rsidRPr="00A64D0F">
        <w:rPr>
          <w:rFonts w:ascii="Simplified Arabic" w:hAnsi="Simplified Arabic" w:cs="Simplified Arabic"/>
          <w:b/>
          <w:bCs/>
          <w:sz w:val="32"/>
          <w:szCs w:val="32"/>
          <w:rtl/>
          <w:lang w:bidi="ar-EG"/>
        </w:rPr>
        <w:t>عقد الزواج لسبب مغاير لإنشاء حياة زوجيّة</w:t>
      </w:r>
      <w:r w:rsidRPr="00A64D0F">
        <w:rPr>
          <w:rFonts w:ascii="Simplified Arabic" w:hAnsi="Simplified Arabic" w:cs="Simplified Arabic"/>
          <w:sz w:val="32"/>
          <w:szCs w:val="32"/>
          <w:rtl/>
          <w:lang w:bidi="ar-EG"/>
        </w:rPr>
        <w:t xml:space="preserve"> قد يثبت التلجئة الكاملة بالزواج</w:t>
      </w:r>
      <w:r w:rsidRPr="00A64D0F">
        <w:rPr>
          <w:rStyle w:val="Rimandonotaapidipagina"/>
          <w:rFonts w:ascii="Simplified Arabic" w:hAnsi="Simplified Arabic" w:cs="Simplified Arabic"/>
          <w:sz w:val="32"/>
          <w:szCs w:val="32"/>
          <w:rtl/>
          <w:lang w:bidi="ar-EG"/>
        </w:rPr>
        <w:footnoteReference w:id="13"/>
      </w:r>
      <w:r w:rsidRPr="00A64D0F">
        <w:rPr>
          <w:rFonts w:ascii="Simplified Arabic" w:hAnsi="Simplified Arabic" w:cs="Simplified Arabic"/>
          <w:sz w:val="32"/>
          <w:szCs w:val="32"/>
          <w:rtl/>
          <w:lang w:bidi="ar-EG"/>
        </w:rPr>
        <w:t>. وقد يكون السبب للحصول على جنسيّة بلد معيّن أو على إرث مالي مُهمّ، أو لتشريع أولاد</w:t>
      </w:r>
      <w:r>
        <w:rPr>
          <w:rFonts w:ascii="Simplified Arabic" w:hAnsi="Simplified Arabic" w:cs="Simplified Arabic" w:hint="cs"/>
          <w:sz w:val="32"/>
          <w:szCs w:val="32"/>
          <w:rtl/>
          <w:lang w:bidi="ar-EG"/>
        </w:rPr>
        <w:t>.</w:t>
      </w:r>
      <w:r w:rsidRPr="00A64D0F">
        <w:rPr>
          <w:rFonts w:ascii="Simplified Arabic" w:hAnsi="Simplified Arabic" w:cs="Simplified Arabic"/>
          <w:sz w:val="32"/>
          <w:szCs w:val="32"/>
          <w:rtl/>
          <w:lang w:bidi="ar-EG"/>
        </w:rPr>
        <w:t xml:space="preserve"> غير شرعيّين، وغيره من الأسباب التي لا علاقة لها بسرّ الزواج. هذا النوع من الزيجات ينفي نيّة عقد الزواج الكنسي السّري كما تراه وتريده الكنيسة والتعاليم الإلهيّة. وعادةً لا يدوم كثيرًا، وينفصل فيها الزوجان بعد فترة قصيرة، خاصّة عندما لا يتحقّق الهدف الذي من أجله عُقدت.</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LB"/>
        </w:rPr>
        <w:t xml:space="preserve">7) </w:t>
      </w:r>
      <w:r w:rsidRPr="00A64D0F">
        <w:rPr>
          <w:rFonts w:ascii="Simplified Arabic" w:hAnsi="Simplified Arabic" w:cs="Simplified Arabic"/>
          <w:b/>
          <w:bCs/>
          <w:sz w:val="32"/>
          <w:szCs w:val="32"/>
          <w:rtl/>
          <w:lang w:bidi="ar-EG"/>
        </w:rPr>
        <w:t>عقد الزواج بسبب حمْل المرأة</w:t>
      </w:r>
      <w:r w:rsidRPr="00A64D0F">
        <w:rPr>
          <w:rFonts w:ascii="Simplified Arabic" w:hAnsi="Simplified Arabic" w:cs="Simplified Arabic"/>
          <w:sz w:val="32"/>
          <w:szCs w:val="32"/>
          <w:rtl/>
          <w:lang w:bidi="ar-EG"/>
        </w:rPr>
        <w:t xml:space="preserve"> غير المتوقَّع قبل الزواج قد يكون علامةً لإكراه أو لخوف احترامي شديد</w:t>
      </w:r>
      <w:r w:rsidRPr="00A64D0F">
        <w:rPr>
          <w:rStyle w:val="Rimandonotaapidipagina"/>
          <w:rFonts w:ascii="Simplified Arabic" w:hAnsi="Simplified Arabic" w:cs="Simplified Arabic"/>
          <w:sz w:val="32"/>
          <w:szCs w:val="32"/>
          <w:rtl/>
          <w:lang w:bidi="ar-EG"/>
        </w:rPr>
        <w:footnoteReference w:id="14"/>
      </w:r>
      <w:r w:rsidRPr="00A64D0F">
        <w:rPr>
          <w:rFonts w:ascii="Simplified Arabic" w:hAnsi="Simplified Arabic" w:cs="Simplified Arabic"/>
          <w:sz w:val="32"/>
          <w:szCs w:val="32"/>
          <w:rtl/>
          <w:lang w:bidi="ar-EG"/>
        </w:rPr>
        <w:t xml:space="preserve"> أو تلجئة كاملة</w:t>
      </w:r>
      <w:r w:rsidRPr="00A64D0F">
        <w:rPr>
          <w:rStyle w:val="Rimandonotaapidipagina"/>
          <w:rFonts w:ascii="Simplified Arabic" w:hAnsi="Simplified Arabic" w:cs="Simplified Arabic"/>
          <w:sz w:val="32"/>
          <w:szCs w:val="32"/>
          <w:rtl/>
          <w:lang w:bidi="ar-EG"/>
        </w:rPr>
        <w:footnoteReference w:id="15"/>
      </w:r>
      <w:r w:rsidRPr="00A64D0F">
        <w:rPr>
          <w:rFonts w:ascii="Simplified Arabic" w:hAnsi="Simplified Arabic" w:cs="Simplified Arabic"/>
          <w:sz w:val="32"/>
          <w:szCs w:val="32"/>
          <w:rtl/>
          <w:lang w:bidi="ar-EG"/>
        </w:rPr>
        <w:t>. يجب أن يثبت بوضوح عدم رغبة المرأة بالزواج لولا حمْلها وخوفها من المجتمع الذي يحيط بها. وهذا</w:t>
      </w:r>
      <w:r>
        <w:rPr>
          <w:rFonts w:ascii="Simplified Arabic" w:hAnsi="Simplified Arabic" w:cs="Simplified Arabic" w:hint="cs"/>
          <w:sz w:val="32"/>
          <w:szCs w:val="32"/>
          <w:rtl/>
          <w:lang w:bidi="ar-EG"/>
        </w:rPr>
        <w:t xml:space="preserve"> يصّح</w:t>
      </w:r>
      <w:r w:rsidRPr="00A64D0F">
        <w:rPr>
          <w:rFonts w:ascii="Simplified Arabic" w:hAnsi="Simplified Arabic" w:cs="Simplified Arabic"/>
          <w:sz w:val="32"/>
          <w:szCs w:val="32"/>
          <w:rtl/>
          <w:lang w:bidi="ar-EG"/>
        </w:rPr>
        <w:t xml:space="preserve"> عن الرجل الذي يتزوّج فقط لانّ المرأة حبلت منه. </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LB"/>
        </w:rPr>
        <w:t xml:space="preserve">8) </w:t>
      </w:r>
      <w:r w:rsidRPr="00A64D0F">
        <w:rPr>
          <w:rFonts w:ascii="Simplified Arabic" w:hAnsi="Simplified Arabic" w:cs="Simplified Arabic"/>
          <w:b/>
          <w:bCs/>
          <w:sz w:val="32"/>
          <w:szCs w:val="32"/>
          <w:rtl/>
          <w:lang w:bidi="ar-EG"/>
        </w:rPr>
        <w:t>العنف الجسدي</w:t>
      </w:r>
      <w:r w:rsidRPr="00A64D0F">
        <w:rPr>
          <w:rFonts w:ascii="Simplified Arabic" w:hAnsi="Simplified Arabic" w:cs="Simplified Arabic"/>
          <w:sz w:val="32"/>
          <w:szCs w:val="32"/>
          <w:rtl/>
          <w:lang w:bidi="ar-EG"/>
        </w:rPr>
        <w:t xml:space="preserve"> لانتزاع الرضى قد يثبت الإكراه والخوف الشديد</w:t>
      </w:r>
      <w:r w:rsidRPr="00A64D0F">
        <w:rPr>
          <w:rStyle w:val="Rimandonotaapidipagina"/>
          <w:rFonts w:ascii="Simplified Arabic" w:hAnsi="Simplified Arabic" w:cs="Simplified Arabic"/>
          <w:sz w:val="32"/>
          <w:szCs w:val="32"/>
          <w:rtl/>
          <w:lang w:bidi="ar-EG"/>
        </w:rPr>
        <w:footnoteReference w:id="16"/>
      </w:r>
      <w:r w:rsidRPr="00A64D0F">
        <w:rPr>
          <w:rFonts w:ascii="Simplified Arabic" w:hAnsi="Simplified Arabic" w:cs="Simplified Arabic"/>
          <w:sz w:val="32"/>
          <w:szCs w:val="32"/>
          <w:rtl/>
          <w:lang w:bidi="ar-EG"/>
        </w:rPr>
        <w:t>. في هذه الحالة تنتفي الإرادة الرضائيّة. ولكن ينبغي اثباتها بشهادات طبّية ومحاضر رجال الأمن والأحكام الجزائية الصادرة سابقًا بحقّ المعنّفين في زمن غير مشبوه.</w:t>
      </w:r>
    </w:p>
    <w:p w:rsidR="009E7D2E" w:rsidRDefault="009E7D2E" w:rsidP="009E7D2E">
      <w:pPr>
        <w:bidi/>
        <w:spacing w:line="240" w:lineRule="auto"/>
        <w:ind w:left="-154" w:right="-18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LB"/>
        </w:rPr>
        <w:lastRenderedPageBreak/>
        <w:t xml:space="preserve">9) </w:t>
      </w:r>
      <w:r w:rsidRPr="00A64D0F">
        <w:rPr>
          <w:rFonts w:ascii="Simplified Arabic" w:hAnsi="Simplified Arabic" w:cs="Simplified Arabic"/>
          <w:b/>
          <w:bCs/>
          <w:sz w:val="32"/>
          <w:szCs w:val="32"/>
          <w:rtl/>
          <w:lang w:bidi="ar-EG"/>
        </w:rPr>
        <w:t>النقص في استعمال العقل</w:t>
      </w:r>
      <w:r w:rsidRPr="00A64D0F">
        <w:rPr>
          <w:rFonts w:ascii="Simplified Arabic" w:hAnsi="Simplified Arabic" w:cs="Simplified Arabic"/>
          <w:sz w:val="32"/>
          <w:szCs w:val="32"/>
          <w:rtl/>
          <w:lang w:bidi="ar-EG"/>
        </w:rPr>
        <w:t xml:space="preserve"> المعزّز بمستندات قد يثبت أحد الأسباب النفسيّة للبطلان</w:t>
      </w:r>
      <w:r w:rsidRPr="00A64D0F">
        <w:rPr>
          <w:rStyle w:val="Rimandonotaapidipagina"/>
          <w:rFonts w:ascii="Simplified Arabic" w:hAnsi="Simplified Arabic" w:cs="Simplified Arabic"/>
          <w:sz w:val="32"/>
          <w:szCs w:val="32"/>
          <w:rtl/>
          <w:lang w:bidi="ar-EG"/>
        </w:rPr>
        <w:footnoteReference w:id="17"/>
      </w:r>
      <w:r w:rsidRPr="00A64D0F">
        <w:rPr>
          <w:rFonts w:ascii="Simplified Arabic" w:hAnsi="Simplified Arabic" w:cs="Simplified Arabic"/>
          <w:sz w:val="32"/>
          <w:szCs w:val="32"/>
          <w:rtl/>
          <w:lang w:bidi="ar-EG"/>
        </w:rPr>
        <w:t>. فمَن كان فاقد الأهليّة للقيام بواجبات الزواج الأساسيّة لا يمكنه أن يلتزم بواجبات الحياة الزواجيّة. ومَن كان غير قادر على معرفة وإدراك الالتزام الزوجي لا يمكنه أن يلتزم به. هذه الحالات تثبت بمستندات وإفادات طبّية وسجلّات إستشفائيّة وخبرات سابقة أجريت لدى محاكم مدنيّة.</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EG"/>
        </w:rPr>
      </w:pPr>
    </w:p>
    <w:p w:rsidR="009E7D2E" w:rsidRPr="00A64D0F" w:rsidRDefault="009E7D2E" w:rsidP="009E7D2E">
      <w:pPr>
        <w:bidi/>
        <w:spacing w:line="240" w:lineRule="auto"/>
        <w:ind w:left="-154" w:right="-180"/>
        <w:jc w:val="both"/>
        <w:rPr>
          <w:rFonts w:ascii="Simplified Arabic" w:hAnsi="Simplified Arabic" w:cs="Simplified Arabic"/>
          <w:b/>
          <w:bCs/>
          <w:sz w:val="32"/>
          <w:szCs w:val="32"/>
          <w:rtl/>
          <w:lang w:bidi="ar-EG"/>
        </w:rPr>
      </w:pPr>
      <w:r w:rsidRPr="00A64D0F">
        <w:rPr>
          <w:rFonts w:ascii="Simplified Arabic" w:hAnsi="Simplified Arabic" w:cs="Simplified Arabic"/>
          <w:b/>
          <w:bCs/>
          <w:sz w:val="32"/>
          <w:szCs w:val="32"/>
          <w:rtl/>
          <w:lang w:bidi="ar-EG"/>
        </w:rPr>
        <w:t>2. التحقيق في الدعوى</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EG"/>
        </w:rPr>
        <w:t xml:space="preserve">عند استلام عريضة الدّعوى، يتشاور </w:t>
      </w:r>
      <w:r w:rsidRPr="00A64D0F">
        <w:rPr>
          <w:rFonts w:ascii="Simplified Arabic" w:hAnsi="Simplified Arabic" w:cs="Simplified Arabic"/>
          <w:b/>
          <w:bCs/>
          <w:sz w:val="32"/>
          <w:szCs w:val="32"/>
          <w:rtl/>
          <w:lang w:bidi="ar-EG"/>
        </w:rPr>
        <w:t>النائب القضائي</w:t>
      </w:r>
      <w:r w:rsidRPr="00A64D0F">
        <w:rPr>
          <w:rFonts w:ascii="Simplified Arabic" w:hAnsi="Simplified Arabic" w:cs="Simplified Arabic"/>
          <w:sz w:val="32"/>
          <w:szCs w:val="32"/>
          <w:rtl/>
          <w:lang w:bidi="ar-EG"/>
        </w:rPr>
        <w:t xml:space="preserve"> مع المطران الأبرشي المعني، ويحدّد الخصومة، المعروفة بصيغة الارتياب، ويعيّن محقِّقًا ومعاونًا، ويستدعي الزوجَين ومحامي الوثاق والشهود إلى جلسة في غضون ثلاثين يومًا لجمع البيّنات. وعند الحاجة، يدعو إلى أكثر من جلسة</w:t>
      </w:r>
      <w:r w:rsidRPr="00A64D0F">
        <w:rPr>
          <w:rStyle w:val="Rimandonotaapidipagina"/>
          <w:rFonts w:ascii="Simplified Arabic" w:hAnsi="Simplified Arabic" w:cs="Simplified Arabic"/>
          <w:sz w:val="32"/>
          <w:szCs w:val="32"/>
          <w:rtl/>
          <w:lang w:bidi="ar-EG"/>
        </w:rPr>
        <w:footnoteReference w:id="18"/>
      </w:r>
      <w:r w:rsidRPr="00A64D0F">
        <w:rPr>
          <w:rFonts w:ascii="Simplified Arabic" w:hAnsi="Simplified Arabic" w:cs="Simplified Arabic"/>
          <w:sz w:val="32"/>
          <w:szCs w:val="32"/>
          <w:rtl/>
          <w:lang w:bidi="ar-EG"/>
        </w:rPr>
        <w:t>.</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EG"/>
        </w:rPr>
        <w:t>يستطيع النائب القضائي أن يعيّن نفسه محقّقًا، أو أن يعيّن قاضيًا آخر يكون من أبرشيّة صاحبَي الدعوى إذا أمكن. ويمكن أن يكون هذا كاهنًا أو علمانيًّا معروفًا بأخلاقه وحكمته وعلمه</w:t>
      </w:r>
      <w:r w:rsidRPr="00A64D0F">
        <w:rPr>
          <w:rStyle w:val="Rimandonotaapidipagina"/>
          <w:rFonts w:ascii="Simplified Arabic" w:hAnsi="Simplified Arabic" w:cs="Simplified Arabic"/>
          <w:sz w:val="32"/>
          <w:szCs w:val="32"/>
          <w:rtl/>
          <w:lang w:bidi="ar-EG"/>
        </w:rPr>
        <w:footnoteReference w:id="19"/>
      </w:r>
      <w:r w:rsidRPr="00A64D0F">
        <w:rPr>
          <w:rFonts w:ascii="Simplified Arabic" w:hAnsi="Simplified Arabic" w:cs="Simplified Arabic"/>
          <w:sz w:val="32"/>
          <w:szCs w:val="32"/>
          <w:rtl/>
          <w:lang w:bidi="ar-EG"/>
        </w:rPr>
        <w:t>.</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EG"/>
        </w:rPr>
      </w:pPr>
      <w:r w:rsidRPr="00A64D0F">
        <w:rPr>
          <w:rFonts w:ascii="Simplified Arabic" w:hAnsi="Simplified Arabic" w:cs="Simplified Arabic"/>
          <w:sz w:val="32"/>
          <w:szCs w:val="32"/>
          <w:rtl/>
          <w:lang w:bidi="ar-EG"/>
        </w:rPr>
        <w:t>في الجلسة المعيّنة لجمع البيّنات الناقصة، يستمع المحقِّق إلى الطرفَين وإلى الشهود، إذا كان من ضرورة لذلك ويقيل المستندات الناقصة. يحقّ للطرفَين قبل ثلاثة أيام من موعد الجلسة أن يضعا الأسئلة الواجب طرحها على الأطراف أو الشهود. يدوّن المسجّل أقوالهم باختصار، على أن تنحصر بجوهر الدّعوى</w:t>
      </w:r>
      <w:r w:rsidRPr="00A64D0F">
        <w:rPr>
          <w:rStyle w:val="Rimandonotaapidipagina"/>
          <w:rFonts w:ascii="Simplified Arabic" w:hAnsi="Simplified Arabic" w:cs="Simplified Arabic"/>
          <w:sz w:val="32"/>
          <w:szCs w:val="32"/>
          <w:rtl/>
          <w:lang w:bidi="ar-EG"/>
        </w:rPr>
        <w:footnoteReference w:id="20"/>
      </w:r>
      <w:r w:rsidRPr="00A64D0F">
        <w:rPr>
          <w:rFonts w:ascii="Simplified Arabic" w:hAnsi="Simplified Arabic" w:cs="Simplified Arabic"/>
          <w:sz w:val="32"/>
          <w:szCs w:val="32"/>
          <w:rtl/>
          <w:lang w:bidi="ar-EG"/>
        </w:rPr>
        <w:t>.</w:t>
      </w:r>
    </w:p>
    <w:p w:rsidR="009E7D2E" w:rsidRPr="00A64D0F" w:rsidRDefault="009E7D2E" w:rsidP="009E7D2E">
      <w:pPr>
        <w:bidi/>
        <w:spacing w:after="0" w:line="240" w:lineRule="auto"/>
        <w:ind w:left="-158" w:right="-180" w:firstLine="389"/>
        <w:jc w:val="both"/>
        <w:rPr>
          <w:rFonts w:ascii="Simplified Arabic" w:hAnsi="Simplified Arabic" w:cs="Simplified Arabic"/>
          <w:sz w:val="32"/>
          <w:szCs w:val="32"/>
          <w:u w:val="single"/>
          <w:rtl/>
          <w:lang w:bidi="ar-LB"/>
        </w:rPr>
      </w:pPr>
      <w:r w:rsidRPr="00A64D0F">
        <w:rPr>
          <w:rFonts w:ascii="Simplified Arabic" w:hAnsi="Simplified Arabic" w:cs="Simplified Arabic"/>
          <w:sz w:val="32"/>
          <w:szCs w:val="32"/>
          <w:rtl/>
          <w:lang w:bidi="ar-LB"/>
        </w:rPr>
        <w:t>بنهاية الجلسات، يحدّد المحقّق مهلة خمسة عشر يومًا للطرفَين لتقديم ما لديهما من ملاحظات ودفاعات، ويمنح أيضًا محامي الوثاق مهلة مماثلة لتقديم ملاحظاته لصالح الوثاق</w:t>
      </w:r>
      <w:r w:rsidRPr="00A64D0F">
        <w:rPr>
          <w:rStyle w:val="Rimandonotaapidipagina"/>
          <w:rFonts w:ascii="Simplified Arabic" w:hAnsi="Simplified Arabic" w:cs="Simplified Arabic"/>
          <w:sz w:val="32"/>
          <w:szCs w:val="32"/>
          <w:rtl/>
          <w:lang w:bidi="ar-LB"/>
        </w:rPr>
        <w:footnoteReference w:id="21"/>
      </w:r>
      <w:r w:rsidRPr="00A64D0F">
        <w:rPr>
          <w:rFonts w:ascii="Simplified Arabic" w:hAnsi="Simplified Arabic" w:cs="Simplified Arabic"/>
          <w:sz w:val="32"/>
          <w:szCs w:val="32"/>
          <w:rtl/>
          <w:lang w:bidi="ar-LB"/>
        </w:rPr>
        <w:t xml:space="preserve">. ثمّ يضمّ </w:t>
      </w:r>
      <w:r w:rsidRPr="00A64D0F">
        <w:rPr>
          <w:rFonts w:ascii="Simplified Arabic" w:hAnsi="Simplified Arabic" w:cs="Simplified Arabic"/>
          <w:sz w:val="32"/>
          <w:szCs w:val="32"/>
          <w:rtl/>
          <w:lang w:bidi="ar-LB"/>
        </w:rPr>
        <w:lastRenderedPageBreak/>
        <w:t>أعمال الدّعوى ويرسلها إلى المطران المعني، محتفظًا بنسخة منها في أرشيف المحكمة. تعطى نسخة من الملف إلى المعاون ليدرسها ويبدي رأيه للأسقف.</w:t>
      </w:r>
    </w:p>
    <w:p w:rsidR="009E7D2E" w:rsidRPr="00A64D0F" w:rsidRDefault="009E7D2E" w:rsidP="009E7D2E">
      <w:pPr>
        <w:bidi/>
        <w:spacing w:before="0" w:after="0" w:line="240" w:lineRule="auto"/>
        <w:ind w:left="-158" w:right="-187" w:firstLine="389"/>
        <w:jc w:val="both"/>
        <w:rPr>
          <w:rFonts w:ascii="Simplified Arabic" w:hAnsi="Simplified Arabic" w:cs="Simplified Arabic"/>
          <w:b/>
          <w:bCs/>
          <w:sz w:val="32"/>
          <w:szCs w:val="32"/>
          <w:rtl/>
          <w:lang w:bidi="ar-LB"/>
        </w:rPr>
      </w:pPr>
      <w:r w:rsidRPr="00A64D0F">
        <w:rPr>
          <w:rFonts w:ascii="Simplified Arabic" w:hAnsi="Simplified Arabic" w:cs="Simplified Arabic"/>
          <w:b/>
          <w:bCs/>
          <w:sz w:val="32"/>
          <w:szCs w:val="32"/>
          <w:rtl/>
          <w:lang w:bidi="ar-LB"/>
        </w:rPr>
        <w:t>3. إصدار الحكم</w:t>
      </w:r>
    </w:p>
    <w:p w:rsidR="009E7D2E" w:rsidRPr="00A64D0F" w:rsidRDefault="009E7D2E" w:rsidP="009E7D2E">
      <w:pPr>
        <w:pStyle w:val="Titolo3"/>
        <w:bidi/>
        <w:spacing w:before="0" w:after="0" w:line="240" w:lineRule="auto"/>
        <w:ind w:left="-154" w:right="-187" w:firstLine="386"/>
        <w:jc w:val="both"/>
        <w:rPr>
          <w:rFonts w:ascii="Simplified Arabic" w:hAnsi="Simplified Arabic" w:cs="Simplified Arabic"/>
          <w:b w:val="0"/>
          <w:bCs w:val="0"/>
          <w:sz w:val="32"/>
          <w:szCs w:val="32"/>
          <w:rtl/>
          <w:lang w:bidi="ar-LB"/>
        </w:rPr>
      </w:pPr>
      <w:r w:rsidRPr="00A64D0F">
        <w:rPr>
          <w:rFonts w:ascii="Simplified Arabic" w:hAnsi="Simplified Arabic" w:cs="Simplified Arabic"/>
          <w:sz w:val="32"/>
          <w:szCs w:val="32"/>
          <w:rtl/>
          <w:lang w:bidi="ar-LB"/>
        </w:rPr>
        <w:t>إصدار الحكم ببطلان الزواج</w:t>
      </w:r>
      <w:r w:rsidRPr="00A64D0F">
        <w:rPr>
          <w:rFonts w:ascii="Simplified Arabic" w:hAnsi="Simplified Arabic" w:cs="Simplified Arabic"/>
          <w:b w:val="0"/>
          <w:bCs w:val="0"/>
          <w:sz w:val="32"/>
          <w:szCs w:val="32"/>
          <w:rtl/>
          <w:lang w:bidi="ar-LB"/>
        </w:rPr>
        <w:t xml:space="preserve"> في المحاكمة الأقصر هو من </w:t>
      </w:r>
      <w:r w:rsidRPr="00A64D0F">
        <w:rPr>
          <w:rFonts w:ascii="Simplified Arabic" w:hAnsi="Simplified Arabic" w:cs="Simplified Arabic"/>
          <w:sz w:val="32"/>
          <w:szCs w:val="32"/>
          <w:rtl/>
          <w:lang w:bidi="ar-LB"/>
        </w:rPr>
        <w:t>صلاحيّة المطران الأبرشي دون سواه</w:t>
      </w:r>
      <w:r w:rsidRPr="00A64D0F">
        <w:rPr>
          <w:rFonts w:ascii="Simplified Arabic" w:hAnsi="Simplified Arabic" w:cs="Simplified Arabic"/>
          <w:b w:val="0"/>
          <w:bCs w:val="0"/>
          <w:sz w:val="32"/>
          <w:szCs w:val="32"/>
          <w:rtl/>
          <w:lang w:bidi="ar-LB"/>
        </w:rPr>
        <w:t>، ولا يمكنه ان يفوِّضها إلى أيّ شخص آخر أو إلى أيّة محكمة أخرى. وذلك انطلاقًا أوّلًا من المبدأ اللّاهوتي القانوني الذي يريد من الأسقف أن يكون العلامة الشخصيّة لقرب العدالة الكنسيّة من المؤمنين، والضمانة لعدم التراخي واستغلال السلطة القضائيّة</w:t>
      </w:r>
      <w:r w:rsidRPr="00A64D0F">
        <w:rPr>
          <w:rStyle w:val="Rimandonotaapidipagina"/>
          <w:rFonts w:ascii="Simplified Arabic" w:hAnsi="Simplified Arabic" w:cs="Simplified Arabic"/>
          <w:b w:val="0"/>
          <w:bCs w:val="0"/>
          <w:sz w:val="32"/>
          <w:szCs w:val="32"/>
          <w:rtl/>
          <w:lang w:bidi="ar-LB"/>
        </w:rPr>
        <w:footnoteReference w:id="22"/>
      </w:r>
      <w:r w:rsidRPr="00A64D0F">
        <w:rPr>
          <w:rFonts w:ascii="Simplified Arabic" w:hAnsi="Simplified Arabic" w:cs="Simplified Arabic"/>
          <w:b w:val="0"/>
          <w:bCs w:val="0"/>
          <w:sz w:val="32"/>
          <w:szCs w:val="32"/>
          <w:rtl/>
          <w:lang w:bidi="ar-LB"/>
        </w:rPr>
        <w:t>. وثانيًا من مبدأ استئناف حكمه إمّا لدى البطريرك وإمّا لدى عميد محكمة الروتا الرومانيّة</w:t>
      </w:r>
      <w:r w:rsidRPr="00A64D0F">
        <w:rPr>
          <w:rStyle w:val="Rimandonotaapidipagina"/>
          <w:rFonts w:ascii="Simplified Arabic" w:hAnsi="Simplified Arabic" w:cs="Simplified Arabic"/>
          <w:b w:val="0"/>
          <w:bCs w:val="0"/>
          <w:sz w:val="32"/>
          <w:szCs w:val="32"/>
          <w:rtl/>
          <w:lang w:bidi="ar-LB"/>
        </w:rPr>
        <w:footnoteReference w:id="23"/>
      </w:r>
      <w:r w:rsidRPr="00A64D0F">
        <w:rPr>
          <w:rFonts w:ascii="Simplified Arabic" w:hAnsi="Simplified Arabic" w:cs="Simplified Arabic"/>
          <w:b w:val="0"/>
          <w:bCs w:val="0"/>
          <w:sz w:val="32"/>
          <w:szCs w:val="32"/>
          <w:rtl/>
          <w:lang w:bidi="ar-LB"/>
        </w:rPr>
        <w:t>.</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LB"/>
        </w:rPr>
        <w:t xml:space="preserve">بعد التشاور مع المحقّق ومعاونه، يقيّم </w:t>
      </w:r>
      <w:r w:rsidRPr="00A64D0F">
        <w:rPr>
          <w:rFonts w:ascii="Simplified Arabic" w:hAnsi="Simplified Arabic" w:cs="Simplified Arabic"/>
          <w:b/>
          <w:bCs/>
          <w:sz w:val="32"/>
          <w:szCs w:val="32"/>
          <w:rtl/>
          <w:lang w:bidi="ar-LB"/>
        </w:rPr>
        <w:t>الأسقف</w:t>
      </w:r>
      <w:r w:rsidRPr="00A64D0F">
        <w:rPr>
          <w:rFonts w:ascii="Simplified Arabic" w:hAnsi="Simplified Arabic" w:cs="Simplified Arabic"/>
          <w:sz w:val="32"/>
          <w:szCs w:val="32"/>
          <w:rtl/>
          <w:lang w:bidi="ar-LB"/>
        </w:rPr>
        <w:t xml:space="preserve"> ملاحظات محامي الوثاق ودفاعات الزوجَين. فإذا تكوّن لديه اليقين الأدبي المطلوب حول بطلان الزواج، </w:t>
      </w:r>
      <w:r w:rsidRPr="00A64D0F">
        <w:rPr>
          <w:rFonts w:ascii="Simplified Arabic" w:hAnsi="Simplified Arabic" w:cs="Simplified Arabic"/>
          <w:b/>
          <w:bCs/>
          <w:sz w:val="32"/>
          <w:szCs w:val="32"/>
          <w:rtl/>
          <w:lang w:bidi="ar-LB"/>
        </w:rPr>
        <w:t>يُصدر حكم البطلان</w:t>
      </w:r>
      <w:r w:rsidRPr="00A64D0F">
        <w:rPr>
          <w:rFonts w:ascii="Simplified Arabic" w:hAnsi="Simplified Arabic" w:cs="Simplified Arabic"/>
          <w:sz w:val="32"/>
          <w:szCs w:val="32"/>
          <w:rtl/>
          <w:lang w:bidi="ar-LB"/>
        </w:rPr>
        <w:t>؛ وإلّا يحيل الدعوى على المحاكمة العاديّة بقرار بسيط معلّل، حيث تنظر فيها هيئة مجلسيّة من ثلاثة قضاة</w:t>
      </w:r>
      <w:r w:rsidRPr="00A64D0F">
        <w:rPr>
          <w:rStyle w:val="Rimandonotaapidipagina"/>
          <w:rFonts w:ascii="Simplified Arabic" w:hAnsi="Simplified Arabic" w:cs="Simplified Arabic"/>
          <w:sz w:val="32"/>
          <w:szCs w:val="32"/>
          <w:rtl/>
          <w:lang w:bidi="ar-LB"/>
        </w:rPr>
        <w:footnoteReference w:id="24"/>
      </w:r>
      <w:r w:rsidRPr="00A64D0F">
        <w:rPr>
          <w:rFonts w:ascii="Simplified Arabic" w:hAnsi="Simplified Arabic" w:cs="Simplified Arabic"/>
          <w:sz w:val="32"/>
          <w:szCs w:val="32"/>
          <w:rtl/>
          <w:lang w:bidi="ar-LB"/>
        </w:rPr>
        <w:t>.</w:t>
      </w:r>
    </w:p>
    <w:p w:rsidR="009E7D2E" w:rsidRPr="00A64D0F" w:rsidRDefault="009E7D2E" w:rsidP="009E7D2E">
      <w:pPr>
        <w:bidi/>
        <w:spacing w:line="240" w:lineRule="auto"/>
        <w:ind w:left="-154" w:right="-180"/>
        <w:jc w:val="both"/>
        <w:rPr>
          <w:rFonts w:ascii="Simplified Arabic" w:hAnsi="Simplified Arabic" w:cs="Simplified Arabic"/>
          <w:sz w:val="32"/>
          <w:szCs w:val="32"/>
          <w:rtl/>
          <w:lang w:bidi="ar-LB"/>
        </w:rPr>
      </w:pPr>
      <w:r w:rsidRPr="00A64D0F">
        <w:rPr>
          <w:rFonts w:ascii="Simplified Arabic" w:hAnsi="Simplified Arabic" w:cs="Simplified Arabic"/>
          <w:sz w:val="32"/>
          <w:szCs w:val="32"/>
          <w:rtl/>
          <w:lang w:bidi="ar-LB"/>
        </w:rPr>
        <w:t xml:space="preserve">على </w:t>
      </w:r>
      <w:r w:rsidRPr="00A64D0F">
        <w:rPr>
          <w:rFonts w:ascii="Simplified Arabic" w:hAnsi="Simplified Arabic" w:cs="Simplified Arabic"/>
          <w:b/>
          <w:bCs/>
          <w:sz w:val="32"/>
          <w:szCs w:val="32"/>
          <w:rtl/>
          <w:lang w:bidi="ar-LB"/>
        </w:rPr>
        <w:t>المطران الأبرشي</w:t>
      </w:r>
      <w:r w:rsidRPr="00A64D0F">
        <w:rPr>
          <w:rFonts w:ascii="Simplified Arabic" w:hAnsi="Simplified Arabic" w:cs="Simplified Arabic"/>
          <w:sz w:val="32"/>
          <w:szCs w:val="32"/>
          <w:rtl/>
          <w:lang w:bidi="ar-LB"/>
        </w:rPr>
        <w:t xml:space="preserve"> المعني أن </w:t>
      </w:r>
      <w:r w:rsidRPr="00A64D0F">
        <w:rPr>
          <w:rFonts w:ascii="Simplified Arabic" w:hAnsi="Simplified Arabic" w:cs="Simplified Arabic"/>
          <w:b/>
          <w:bCs/>
          <w:sz w:val="32"/>
          <w:szCs w:val="32"/>
          <w:rtl/>
          <w:lang w:bidi="ar-LB"/>
        </w:rPr>
        <w:t>يوقِّع شخصيًّا الحكم ببطلان الزواج</w:t>
      </w:r>
      <w:r w:rsidRPr="00A64D0F">
        <w:rPr>
          <w:rFonts w:ascii="Simplified Arabic" w:hAnsi="Simplified Arabic" w:cs="Simplified Arabic"/>
          <w:sz w:val="32"/>
          <w:szCs w:val="32"/>
          <w:rtl/>
          <w:lang w:bidi="ar-LB"/>
        </w:rPr>
        <w:t>، وله أن يكلّف النائب القضائي أو المحقّق أو معاونه بكتابة هذا الحكم، فيصحّح فيه ما يشاء، أو يضيف ما يلزم، ويدوّن المكان والتاريخ، ويضع ختم المطرانيّة على كلّ صفحة من صفحاته. ويوقّعه معه المسجّل. تُحفظ النسخة الأصليّة في محفوظات دائرة الأبرشيّة، وتُرسَل نسخة إلى النائب القضائي لإبلاغها إلى الزوجَين في غضون شهر من تاريخ صدور الحكم وحفظ نسخة في محفوظات المحكمة</w:t>
      </w:r>
      <w:r w:rsidRPr="00A64D0F">
        <w:rPr>
          <w:rStyle w:val="Rimandonotaapidipagina"/>
          <w:rFonts w:ascii="Simplified Arabic" w:hAnsi="Simplified Arabic" w:cs="Simplified Arabic"/>
          <w:sz w:val="32"/>
          <w:szCs w:val="32"/>
          <w:rtl/>
          <w:lang w:bidi="ar-LB"/>
        </w:rPr>
        <w:footnoteReference w:id="25"/>
      </w:r>
      <w:r w:rsidRPr="00A64D0F">
        <w:rPr>
          <w:rFonts w:ascii="Simplified Arabic" w:hAnsi="Simplified Arabic" w:cs="Simplified Arabic"/>
          <w:sz w:val="32"/>
          <w:szCs w:val="32"/>
          <w:rtl/>
          <w:lang w:bidi="ar-LB"/>
        </w:rPr>
        <w:t>.</w:t>
      </w:r>
    </w:p>
    <w:p w:rsidR="009E7D2E" w:rsidRPr="00A64D0F" w:rsidRDefault="009E7D2E" w:rsidP="009E7D2E">
      <w:pPr>
        <w:pStyle w:val="Titolo3"/>
        <w:bidi/>
        <w:spacing w:line="240" w:lineRule="auto"/>
        <w:ind w:left="-154" w:right="-180" w:firstLine="386"/>
        <w:jc w:val="both"/>
        <w:rPr>
          <w:rFonts w:ascii="Simplified Arabic" w:hAnsi="Simplified Arabic" w:cs="Simplified Arabic"/>
          <w:b w:val="0"/>
          <w:bCs w:val="0"/>
          <w:sz w:val="32"/>
          <w:szCs w:val="32"/>
          <w:rtl/>
          <w:lang w:bidi="ar-LB"/>
        </w:rPr>
      </w:pPr>
      <w:r w:rsidRPr="00A64D0F">
        <w:rPr>
          <w:rFonts w:ascii="Simplified Arabic" w:hAnsi="Simplified Arabic" w:cs="Simplified Arabic"/>
          <w:b w:val="0"/>
          <w:bCs w:val="0"/>
          <w:sz w:val="32"/>
          <w:szCs w:val="32"/>
          <w:rtl/>
          <w:lang w:bidi="ar-LB"/>
        </w:rPr>
        <w:t xml:space="preserve">يجب أن يتضمّن حكم بطلان الزواج القوانين والوقائع والبيّنات التي يستند إليها، ويجب تنبيه الطرفَين في الحكم، كما ينصّ القانون 1377 بند 1 من الإرادة الرسوليّة، إلى ما قد يلزمان به من واجبات أدبيّة أو مدنيّة تتلازم مع حالتهما الجديدة، وتصون العدل وحقوق كلّ منهما وحقوق الأولاد، كتحديد النفقة للأولاد وتقرير حراستهم وسائر المفاعيل المدنيّة المتعلّقة بالدّعوى. أما إذا </w:t>
      </w:r>
      <w:r w:rsidRPr="00A64D0F">
        <w:rPr>
          <w:rFonts w:ascii="Simplified Arabic" w:hAnsi="Simplified Arabic" w:cs="Simplified Arabic"/>
          <w:b w:val="0"/>
          <w:bCs w:val="0"/>
          <w:sz w:val="32"/>
          <w:szCs w:val="32"/>
          <w:rtl/>
          <w:lang w:bidi="ar-LB"/>
        </w:rPr>
        <w:lastRenderedPageBreak/>
        <w:t>كان موضوع المفاعيل المدنيّة عالقًا في محاكمة قضائيّة عاديّة فيترك القرار فيه لتلك المحكمة التي تنظر فيها. بعد صدور الحكم ببطلان الزواج، وقد أصبح قابلًا للتنفيذ، يستطيع الزوجان المعنيّان عقد زواج جديد، ما لم يمنعه نهيٌ، يجب أن يكون مذكورًا في الحكم، أو يقرّره مطران الأبرشيّة</w:t>
      </w:r>
      <w:r w:rsidRPr="00A64D0F">
        <w:rPr>
          <w:rStyle w:val="Rimandonotaapidipagina"/>
          <w:rFonts w:ascii="Simplified Arabic" w:hAnsi="Simplified Arabic" w:cs="Simplified Arabic"/>
          <w:b w:val="0"/>
          <w:bCs w:val="0"/>
          <w:sz w:val="32"/>
          <w:szCs w:val="32"/>
          <w:rtl/>
          <w:lang w:bidi="ar-LB"/>
        </w:rPr>
        <w:footnoteReference w:id="26"/>
      </w:r>
      <w:r w:rsidRPr="00A64D0F">
        <w:rPr>
          <w:rFonts w:ascii="Simplified Arabic" w:hAnsi="Simplified Arabic" w:cs="Simplified Arabic"/>
          <w:b w:val="0"/>
          <w:bCs w:val="0"/>
          <w:sz w:val="32"/>
          <w:szCs w:val="32"/>
          <w:rtl/>
          <w:lang w:bidi="ar-LB"/>
        </w:rPr>
        <w:t>.</w:t>
      </w:r>
    </w:p>
    <w:p w:rsidR="009E7D2E" w:rsidRPr="00A64D0F" w:rsidRDefault="009E7D2E" w:rsidP="009E7D2E">
      <w:pPr>
        <w:pStyle w:val="Titolo3"/>
        <w:bidi/>
        <w:spacing w:line="240" w:lineRule="auto"/>
        <w:ind w:left="-154" w:right="-180" w:firstLine="386"/>
        <w:jc w:val="both"/>
        <w:rPr>
          <w:rFonts w:ascii="Simplified Arabic" w:hAnsi="Simplified Arabic" w:cs="Simplified Arabic"/>
          <w:b w:val="0"/>
          <w:bCs w:val="0"/>
          <w:sz w:val="32"/>
          <w:szCs w:val="32"/>
          <w:rtl/>
          <w:lang w:bidi="ar-LB"/>
        </w:rPr>
      </w:pPr>
      <w:r w:rsidRPr="00A64D0F">
        <w:rPr>
          <w:rFonts w:ascii="Simplified Arabic" w:hAnsi="Simplified Arabic" w:cs="Simplified Arabic"/>
          <w:b w:val="0"/>
          <w:bCs w:val="0"/>
          <w:sz w:val="32"/>
          <w:szCs w:val="32"/>
          <w:rtl/>
          <w:lang w:bidi="ar-LB"/>
        </w:rPr>
        <w:t xml:space="preserve">إذا كان </w:t>
      </w:r>
      <w:r w:rsidRPr="00A64D0F">
        <w:rPr>
          <w:rFonts w:ascii="Simplified Arabic" w:hAnsi="Simplified Arabic" w:cs="Simplified Arabic"/>
          <w:sz w:val="32"/>
          <w:szCs w:val="32"/>
          <w:rtl/>
          <w:lang w:bidi="ar-LB"/>
        </w:rPr>
        <w:t>أحد الطرفَين</w:t>
      </w:r>
      <w:r w:rsidRPr="00A64D0F">
        <w:rPr>
          <w:rFonts w:ascii="Simplified Arabic" w:hAnsi="Simplified Arabic" w:cs="Simplified Arabic"/>
          <w:b w:val="0"/>
          <w:bCs w:val="0"/>
          <w:sz w:val="32"/>
          <w:szCs w:val="32"/>
          <w:rtl/>
          <w:lang w:bidi="ar-LB"/>
        </w:rPr>
        <w:t xml:space="preserve"> قد صرّح في بداية الدعوى أنّه </w:t>
      </w:r>
      <w:r w:rsidRPr="00A64D0F">
        <w:rPr>
          <w:rFonts w:ascii="Simplified Arabic" w:hAnsi="Simplified Arabic" w:cs="Simplified Arabic"/>
          <w:sz w:val="32"/>
          <w:szCs w:val="32"/>
          <w:rtl/>
          <w:lang w:bidi="ar-LB"/>
        </w:rPr>
        <w:t>لا يريد أن يشترك فيها</w:t>
      </w:r>
      <w:r w:rsidRPr="00A64D0F">
        <w:rPr>
          <w:rFonts w:ascii="Simplified Arabic" w:hAnsi="Simplified Arabic" w:cs="Simplified Arabic"/>
          <w:b w:val="0"/>
          <w:bCs w:val="0"/>
          <w:sz w:val="32"/>
          <w:szCs w:val="32"/>
          <w:rtl/>
          <w:lang w:bidi="ar-LB"/>
        </w:rPr>
        <w:t>، ولا يريد أن يتبلّغ أيّ شيء عنها، يجب رغم ذلك، إبلاغه على الأقل مضمون الفقرة الحكميّة، أي نتيجة الدعوى القاضية بإعلان بطلان زواجه والسبب الذي أعلن فيه.</w:t>
      </w:r>
    </w:p>
    <w:p w:rsidR="009E7D2E" w:rsidRPr="00A64D0F" w:rsidRDefault="009E7D2E" w:rsidP="009E7D2E">
      <w:pPr>
        <w:pStyle w:val="Titolo3"/>
        <w:bidi/>
        <w:spacing w:line="240" w:lineRule="auto"/>
        <w:ind w:firstLine="0"/>
        <w:rPr>
          <w:rFonts w:ascii="Simplified Arabic" w:hAnsi="Simplified Arabic" w:cs="Simplified Arabic"/>
          <w:sz w:val="32"/>
          <w:szCs w:val="32"/>
          <w:rtl/>
          <w:lang w:bidi="ar-LB"/>
        </w:rPr>
      </w:pPr>
      <w:bookmarkStart w:id="2" w:name="_Toc441508269"/>
      <w:bookmarkStart w:id="3" w:name="_Toc445065136"/>
      <w:r w:rsidRPr="00A64D0F">
        <w:rPr>
          <w:rFonts w:ascii="Simplified Arabic" w:hAnsi="Simplified Arabic" w:cs="Simplified Arabic"/>
          <w:sz w:val="32"/>
          <w:szCs w:val="32"/>
          <w:rtl/>
          <w:lang w:bidi="ar-LB"/>
        </w:rPr>
        <w:t xml:space="preserve">4. استئناف الحكم </w:t>
      </w:r>
      <w:bookmarkEnd w:id="2"/>
      <w:r w:rsidRPr="00A64D0F">
        <w:rPr>
          <w:rFonts w:ascii="Simplified Arabic" w:hAnsi="Simplified Arabic" w:cs="Simplified Arabic"/>
          <w:sz w:val="32"/>
          <w:szCs w:val="32"/>
          <w:rtl/>
          <w:lang w:bidi="ar-LB"/>
        </w:rPr>
        <w:t>وتنفيذه</w:t>
      </w:r>
      <w:bookmarkEnd w:id="3"/>
    </w:p>
    <w:p w:rsidR="009E7D2E" w:rsidRPr="00A64D0F" w:rsidRDefault="009E7D2E" w:rsidP="009E7D2E">
      <w:pPr>
        <w:pStyle w:val="Titolo3"/>
        <w:bidi/>
        <w:spacing w:line="240" w:lineRule="auto"/>
        <w:jc w:val="both"/>
        <w:rPr>
          <w:rFonts w:ascii="Simplified Arabic" w:hAnsi="Simplified Arabic" w:cs="Simplified Arabic"/>
          <w:b w:val="0"/>
          <w:bCs w:val="0"/>
          <w:sz w:val="32"/>
          <w:szCs w:val="32"/>
          <w:rtl/>
          <w:lang w:bidi="ar-LB"/>
        </w:rPr>
      </w:pPr>
      <w:r w:rsidRPr="00A64D0F">
        <w:rPr>
          <w:rFonts w:ascii="Simplified Arabic" w:hAnsi="Simplified Arabic" w:cs="Simplified Arabic"/>
          <w:b w:val="0"/>
          <w:bCs w:val="0"/>
          <w:sz w:val="32"/>
          <w:szCs w:val="32"/>
          <w:rtl/>
          <w:lang w:bidi="ar-LB"/>
        </w:rPr>
        <w:t>يمكن استئناف حكم المطران الأبرشي لدى البطريرك أو لدى عميد محكمة الروتا الرومانية</w:t>
      </w:r>
      <w:r w:rsidRPr="00A64D0F">
        <w:rPr>
          <w:rStyle w:val="Rimandonotaapidipagina"/>
          <w:rFonts w:ascii="Simplified Arabic" w:hAnsi="Simplified Arabic" w:cs="Simplified Arabic"/>
          <w:b w:val="0"/>
          <w:bCs w:val="0"/>
          <w:sz w:val="32"/>
          <w:szCs w:val="32"/>
          <w:rtl/>
          <w:lang w:bidi="ar-LB"/>
        </w:rPr>
        <w:footnoteReference w:id="27"/>
      </w:r>
      <w:r w:rsidRPr="00A64D0F">
        <w:rPr>
          <w:rFonts w:ascii="Simplified Arabic" w:hAnsi="Simplified Arabic" w:cs="Simplified Arabic"/>
          <w:b w:val="0"/>
          <w:bCs w:val="0"/>
          <w:sz w:val="32"/>
          <w:szCs w:val="32"/>
          <w:rtl/>
          <w:lang w:bidi="ar-LB"/>
        </w:rPr>
        <w:t>، ضمن المهل القانونية للاستئناف، كما هو محدّد في استئناف الدعاوى العاديّة</w:t>
      </w:r>
      <w:r w:rsidRPr="00A64D0F">
        <w:rPr>
          <w:rStyle w:val="Rimandonotaapidipagina"/>
          <w:rFonts w:ascii="Simplified Arabic" w:hAnsi="Simplified Arabic" w:cs="Simplified Arabic"/>
          <w:b w:val="0"/>
          <w:bCs w:val="0"/>
          <w:sz w:val="32"/>
          <w:szCs w:val="32"/>
          <w:rtl/>
          <w:lang w:bidi="ar-LB"/>
        </w:rPr>
        <w:footnoteReference w:id="28"/>
      </w:r>
      <w:r w:rsidRPr="00A64D0F">
        <w:rPr>
          <w:rFonts w:ascii="Simplified Arabic" w:hAnsi="Simplified Arabic" w:cs="Simplified Arabic"/>
          <w:b w:val="0"/>
          <w:bCs w:val="0"/>
          <w:sz w:val="32"/>
          <w:szCs w:val="32"/>
          <w:rtl/>
          <w:lang w:bidi="ar-LB"/>
        </w:rPr>
        <w:t>. عندما يتقدّم أحد الطرفَين أو محامي الوثاق باستئناف الحكم، يرفع النائب القضائي عريضة الاستئناف مع الحكم وأعمال الدعوى إلى المرجع المستأنف إليه، بعد أن يترك نسخة عنه في محفوظات المحكمة.</w:t>
      </w:r>
    </w:p>
    <w:p w:rsidR="009E7D2E" w:rsidRPr="00A64D0F" w:rsidRDefault="009E7D2E" w:rsidP="009E7D2E">
      <w:pPr>
        <w:pStyle w:val="Titolo3"/>
        <w:bidi/>
        <w:spacing w:line="240" w:lineRule="auto"/>
        <w:jc w:val="both"/>
        <w:rPr>
          <w:rFonts w:ascii="Simplified Arabic" w:hAnsi="Simplified Arabic" w:cs="Simplified Arabic"/>
          <w:b w:val="0"/>
          <w:bCs w:val="0"/>
          <w:sz w:val="32"/>
          <w:szCs w:val="32"/>
          <w:lang w:bidi="ar-LB"/>
        </w:rPr>
      </w:pPr>
      <w:r w:rsidRPr="00A64D0F">
        <w:rPr>
          <w:rFonts w:ascii="Simplified Arabic" w:hAnsi="Simplified Arabic" w:cs="Simplified Arabic"/>
          <w:b w:val="0"/>
          <w:bCs w:val="0"/>
          <w:sz w:val="32"/>
          <w:szCs w:val="32"/>
          <w:rtl/>
          <w:lang w:bidi="ar-LB"/>
        </w:rPr>
        <w:t xml:space="preserve">يعنى البطريرك فإذا تبيّن له أنّ الاستئناف هو فقط للمماطلة ولا يستند إلى أيّة بيّنة إثبات أساسيّة ومهمّة، يردّ الاستئناف من الأصل بقرارٍ بسيط منه معلّل. وعندها يصبح الحكم نافذًا. أما إذا رأى البطريرك أنّ الاستئناف مُحقّ، يحيل الملف على المحكمة البطريركيّة المألوفة، لتنظر فيه بالطريقة العاديّة وبهيئة مجلسيّة في الدرجة الثانية. </w:t>
      </w:r>
    </w:p>
    <w:p w:rsidR="009E7D2E" w:rsidRPr="00A64D0F" w:rsidRDefault="009E7D2E" w:rsidP="009E7D2E">
      <w:pPr>
        <w:pStyle w:val="Titolo3"/>
        <w:bidi/>
        <w:spacing w:line="240" w:lineRule="auto"/>
        <w:jc w:val="both"/>
        <w:rPr>
          <w:rFonts w:ascii="Simplified Arabic" w:hAnsi="Simplified Arabic" w:cs="Simplified Arabic"/>
          <w:b w:val="0"/>
          <w:bCs w:val="0"/>
          <w:sz w:val="32"/>
          <w:szCs w:val="32"/>
          <w:rtl/>
          <w:lang w:bidi="ar-LB"/>
        </w:rPr>
      </w:pPr>
      <w:r w:rsidRPr="00A64D0F">
        <w:rPr>
          <w:rFonts w:ascii="Simplified Arabic" w:hAnsi="Simplified Arabic" w:cs="Simplified Arabic"/>
          <w:b w:val="0"/>
          <w:bCs w:val="0"/>
          <w:sz w:val="32"/>
          <w:szCs w:val="32"/>
          <w:rtl/>
          <w:lang w:bidi="ar-LB"/>
        </w:rPr>
        <w:t>يجري تنفيذ حكم الاستئناف وفقًا للطريقة التي يعتمدها تنفيذ الأحكام العاديّة.</w:t>
      </w:r>
    </w:p>
    <w:p w:rsidR="009E7D2E" w:rsidRPr="00A64D0F" w:rsidRDefault="009E7D2E" w:rsidP="009E7D2E">
      <w:pPr>
        <w:pStyle w:val="Titolo2"/>
        <w:bidi/>
        <w:spacing w:before="0" w:after="0" w:line="240" w:lineRule="auto"/>
        <w:ind w:firstLine="0"/>
        <w:rPr>
          <w:rFonts w:ascii="Simplified Arabic" w:hAnsi="Simplified Arabic" w:cs="Simplified Arabic"/>
          <w:i w:val="0"/>
          <w:iCs w:val="0"/>
          <w:sz w:val="32"/>
          <w:szCs w:val="32"/>
          <w:rtl/>
          <w:lang w:bidi="ar-LB"/>
        </w:rPr>
      </w:pPr>
    </w:p>
    <w:p w:rsidR="009E7D2E" w:rsidRDefault="009E7D2E" w:rsidP="009E7D2E">
      <w:pPr>
        <w:jc w:val="center"/>
        <w:rPr>
          <w:lang w:bidi="ar-LB"/>
        </w:rPr>
      </w:pPr>
    </w:p>
    <w:sectPr w:rsidR="009E7D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DCC" w:rsidRDefault="000E3DCC" w:rsidP="009E7D2E">
      <w:pPr>
        <w:spacing w:before="0" w:after="0" w:line="240" w:lineRule="auto"/>
      </w:pPr>
      <w:r>
        <w:separator/>
      </w:r>
    </w:p>
  </w:endnote>
  <w:endnote w:type="continuationSeparator" w:id="0">
    <w:p w:rsidR="000E3DCC" w:rsidRDefault="000E3DCC" w:rsidP="009E7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B06040202020202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DCC" w:rsidRDefault="000E3DCC" w:rsidP="009E7D2E">
      <w:pPr>
        <w:spacing w:before="0" w:after="0" w:line="240" w:lineRule="auto"/>
      </w:pPr>
      <w:r>
        <w:separator/>
      </w:r>
    </w:p>
  </w:footnote>
  <w:footnote w:type="continuationSeparator" w:id="0">
    <w:p w:rsidR="000E3DCC" w:rsidRDefault="000E3DCC" w:rsidP="009E7D2E">
      <w:pPr>
        <w:spacing w:before="0" w:after="0" w:line="240" w:lineRule="auto"/>
      </w:pPr>
      <w:r>
        <w:continuationSeparator/>
      </w:r>
    </w:p>
  </w:footnote>
  <w:footnote w:id="1">
    <w:p w:rsidR="009E7D2E" w:rsidRPr="00CC6F22" w:rsidRDefault="009E7D2E" w:rsidP="009E7D2E">
      <w:pPr>
        <w:pStyle w:val="Testonotaapidipagina"/>
        <w:bidi/>
        <w:spacing w:before="0" w:after="0" w:line="240" w:lineRule="auto"/>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راجع  الإرادة الرسولية "يسوع العطوف الرحوم" ، معايير الإصلاح، عدد 4.</w:t>
      </w:r>
    </w:p>
  </w:footnote>
  <w:footnote w:id="2">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يسوع العطوف الرحوم، ق 1369</w:t>
      </w:r>
      <w:r>
        <w:rPr>
          <w:rFonts w:ascii="Simplified Arabic" w:hAnsi="Simplified Arabic" w:cs="Simplified Arabic" w:hint="cs"/>
          <w:sz w:val="24"/>
          <w:szCs w:val="24"/>
          <w:rtl/>
          <w:lang w:bidi="ar-LB"/>
        </w:rPr>
        <w:t>. موافقة الزوج المدّعى عليه واجبة كشرط بدونه لا، لأنّ المحاكمة الأقصر هي شواذّ عن الأصول العامّة (راجع تفسير المجلس الحبري لتفسير القوانين بتاريخ أوّل تشرين الأوّل 2015).</w:t>
      </w:r>
    </w:p>
  </w:footnote>
  <w:footnote w:id="3">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776 من الشرع العام</w:t>
      </w:r>
    </w:p>
  </w:footnote>
  <w:footnote w:id="4">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 xml:space="preserve">ق 819 و820 </w:t>
      </w:r>
    </w:p>
  </w:footnote>
  <w:footnote w:id="5">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818 و824 من الشرع العام</w:t>
      </w:r>
    </w:p>
  </w:footnote>
  <w:footnote w:id="6">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820-822 من الشرع العام</w:t>
      </w:r>
    </w:p>
  </w:footnote>
  <w:footnote w:id="7">
    <w:p w:rsidR="009E7D2E" w:rsidRPr="00CC6F22" w:rsidRDefault="009E7D2E" w:rsidP="009E7D2E">
      <w:pPr>
        <w:pStyle w:val="Testonotaapidipagina"/>
        <w:bidi/>
        <w:spacing w:before="0" w:after="0" w:line="240" w:lineRule="auto"/>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826 من الشرع العام.</w:t>
      </w:r>
    </w:p>
  </w:footnote>
  <w:footnote w:id="8">
    <w:p w:rsidR="009E7D2E" w:rsidRPr="00CC6F22" w:rsidRDefault="009E7D2E" w:rsidP="009E7D2E">
      <w:pPr>
        <w:pStyle w:val="Testonotaapidipagina"/>
        <w:bidi/>
        <w:spacing w:before="0" w:after="0" w:line="240" w:lineRule="auto"/>
        <w:ind w:firstLine="288"/>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821</w:t>
      </w:r>
    </w:p>
  </w:footnote>
  <w:footnote w:id="9">
    <w:p w:rsidR="009E7D2E" w:rsidRPr="00CC6F22" w:rsidRDefault="009E7D2E" w:rsidP="009E7D2E">
      <w:pPr>
        <w:pStyle w:val="Testonotaapidipagina"/>
        <w:bidi/>
        <w:spacing w:before="0" w:after="0" w:line="240" w:lineRule="auto"/>
        <w:ind w:firstLine="288"/>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ق 818</w:t>
      </w:r>
    </w:p>
  </w:footnote>
  <w:footnote w:id="10">
    <w:p w:rsidR="009E7D2E" w:rsidRPr="00CC6F22" w:rsidRDefault="009E7D2E" w:rsidP="009E7D2E">
      <w:pPr>
        <w:pStyle w:val="Testonotaapidipagina"/>
        <w:bidi/>
        <w:spacing w:before="0" w:after="0" w:line="240" w:lineRule="auto"/>
        <w:ind w:firstLine="288"/>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824 بند 2 من الشرع العام</w:t>
      </w:r>
    </w:p>
  </w:footnote>
  <w:footnote w:id="11">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المرجع نفسه</w:t>
      </w:r>
    </w:p>
  </w:footnote>
  <w:footnote w:id="12">
    <w:p w:rsidR="009E7D2E" w:rsidRPr="00CC6F22" w:rsidRDefault="009E7D2E" w:rsidP="009E7D2E">
      <w:pPr>
        <w:pStyle w:val="Testonotaapidipagina"/>
        <w:bidi/>
        <w:spacing w:before="0" w:after="0" w:line="240" w:lineRule="auto"/>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راجع القانون 822 من الشرع العام.</w:t>
      </w:r>
    </w:p>
  </w:footnote>
  <w:footnote w:id="13">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824 بند 2 من الشرع العام</w:t>
      </w:r>
    </w:p>
  </w:footnote>
  <w:footnote w:id="14">
    <w:p w:rsidR="009E7D2E" w:rsidRPr="00CC6F22" w:rsidRDefault="009E7D2E" w:rsidP="009E7D2E">
      <w:pPr>
        <w:pStyle w:val="Testonotaapidipagina"/>
        <w:bidi/>
        <w:spacing w:before="0" w:after="0" w:line="240" w:lineRule="auto"/>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825 من الشرع العام.</w:t>
      </w:r>
    </w:p>
  </w:footnote>
  <w:footnote w:id="15">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راجع القانون 824 بند 2 من الشرع العام.</w:t>
      </w:r>
    </w:p>
  </w:footnote>
  <w:footnote w:id="16">
    <w:p w:rsidR="009E7D2E" w:rsidRPr="00CC6F22" w:rsidRDefault="009E7D2E" w:rsidP="009E7D2E">
      <w:pPr>
        <w:pStyle w:val="Testonotaapidipagina"/>
        <w:bidi/>
        <w:spacing w:before="0" w:after="0" w:line="240" w:lineRule="auto"/>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راجع القانون 825 من الشرع العام.</w:t>
      </w:r>
    </w:p>
  </w:footnote>
  <w:footnote w:id="17">
    <w:p w:rsidR="009E7D2E" w:rsidRPr="00CC6F22" w:rsidRDefault="009E7D2E" w:rsidP="009E7D2E">
      <w:pPr>
        <w:pStyle w:val="Testonotaapidipagina"/>
        <w:bidi/>
        <w:spacing w:before="0" w:after="0" w:line="240" w:lineRule="auto"/>
        <w:rPr>
          <w:rFonts w:ascii="Simplified Arabic" w:hAnsi="Simplified Arabic" w:cs="Simplified Arabic"/>
          <w:sz w:val="24"/>
          <w:szCs w:val="24"/>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ق 818 من الشرع العام.</w:t>
      </w:r>
    </w:p>
  </w:footnote>
  <w:footnote w:id="18">
    <w:p w:rsidR="009E7D2E" w:rsidRPr="00CC6F22" w:rsidRDefault="009E7D2E" w:rsidP="009E7D2E">
      <w:pPr>
        <w:pStyle w:val="Testonotaapidipagina"/>
        <w:bidi/>
        <w:spacing w:before="0" w:after="0"/>
        <w:rPr>
          <w:rFonts w:ascii="Simplified Arabic" w:hAnsi="Simplified Arabic" w:cs="Simplified Arabic"/>
          <w:sz w:val="24"/>
          <w:szCs w:val="24"/>
          <w:rtl/>
          <w:lang w:bidi="ar-LB"/>
        </w:rPr>
      </w:pPr>
      <w:r w:rsidRPr="00CC6F22">
        <w:rPr>
          <w:rFonts w:ascii="Simplified Arabic" w:hAnsi="Simplified Arabic" w:cs="Simplified Arabic"/>
          <w:sz w:val="24"/>
          <w:szCs w:val="24"/>
          <w:rtl/>
        </w:rPr>
        <w:t xml:space="preserve"> </w:t>
      </w: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الإرادة الرسولية، ق 1371.</w:t>
      </w:r>
    </w:p>
  </w:footnote>
  <w:footnote w:id="19">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Fonts w:ascii="Simplified Arabic" w:hAnsi="Simplified Arabic" w:cs="Simplified Arabic"/>
          <w:sz w:val="24"/>
          <w:szCs w:val="24"/>
          <w:rtl/>
        </w:rPr>
        <w:t xml:space="preserve"> </w:t>
      </w: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قواعد أصول المحاكمات، م</w:t>
      </w:r>
      <w:proofErr w:type="gramStart"/>
      <w:r w:rsidRPr="00CC6F22">
        <w:rPr>
          <w:rFonts w:ascii="Simplified Arabic" w:hAnsi="Simplified Arabic" w:cs="Simplified Arabic"/>
          <w:sz w:val="24"/>
          <w:szCs w:val="24"/>
          <w:rtl/>
        </w:rPr>
        <w:t xml:space="preserve">16؛ </w:t>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ق</w:t>
      </w:r>
      <w:proofErr w:type="gramEnd"/>
      <w:r w:rsidRPr="00CC6F22">
        <w:rPr>
          <w:rFonts w:ascii="Simplified Arabic" w:hAnsi="Simplified Arabic" w:cs="Simplified Arabic"/>
          <w:sz w:val="24"/>
          <w:szCs w:val="24"/>
          <w:rtl/>
          <w:lang w:bidi="ar-LB"/>
        </w:rPr>
        <w:t xml:space="preserve"> 1093 من الشرع العام.</w:t>
      </w:r>
    </w:p>
  </w:footnote>
  <w:footnote w:id="20">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القواعد، م 17 و18 بند2</w:t>
      </w:r>
    </w:p>
  </w:footnote>
  <w:footnote w:id="21">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الإرادة الرسولية، ق 137</w:t>
      </w:r>
      <w:r>
        <w:rPr>
          <w:rFonts w:ascii="Simplified Arabic" w:hAnsi="Simplified Arabic" w:cs="Simplified Arabic" w:hint="cs"/>
          <w:sz w:val="24"/>
          <w:szCs w:val="24"/>
          <w:rtl/>
          <w:lang w:bidi="ar-LB"/>
        </w:rPr>
        <w:t>1</w:t>
      </w:r>
    </w:p>
  </w:footnote>
  <w:footnote w:id="22">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tl/>
        </w:rPr>
        <w:t xml:space="preserve"> </w:t>
      </w:r>
      <w:r w:rsidRPr="00CC6F22">
        <w:rPr>
          <w:rFonts w:ascii="Simplified Arabic" w:hAnsi="Simplified Arabic" w:cs="Simplified Arabic"/>
          <w:sz w:val="24"/>
          <w:szCs w:val="24"/>
          <w:rtl/>
          <w:lang w:bidi="ar-LB"/>
        </w:rPr>
        <w:t>راجع مقدمة الإرادة الرسولية، المعايير عدد2-4.</w:t>
      </w:r>
    </w:p>
  </w:footnote>
  <w:footnote w:id="23">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يسوع العطوف الرحوم، ق1373 بند1.</w:t>
      </w:r>
    </w:p>
  </w:footnote>
  <w:footnote w:id="24">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المرجع نفسه، ق 1373 بند 1.</w:t>
      </w:r>
    </w:p>
  </w:footnote>
  <w:footnote w:id="25">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القواعد، المادة 20</w:t>
      </w:r>
    </w:p>
  </w:footnote>
  <w:footnote w:id="26">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ق 1368، بند 1.</w:t>
      </w:r>
    </w:p>
  </w:footnote>
  <w:footnote w:id="27">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يسوع العطوف الرحوم، ق 1373، بند3</w:t>
      </w:r>
    </w:p>
  </w:footnote>
  <w:footnote w:id="28">
    <w:p w:rsidR="009E7D2E" w:rsidRPr="00CC6F22" w:rsidRDefault="009E7D2E" w:rsidP="009E7D2E">
      <w:pPr>
        <w:pStyle w:val="Testonotaapidipagina"/>
        <w:bidi/>
        <w:spacing w:before="0" w:after="0" w:line="240" w:lineRule="auto"/>
        <w:rPr>
          <w:rFonts w:ascii="Simplified Arabic" w:hAnsi="Simplified Arabic" w:cs="Simplified Arabic"/>
          <w:sz w:val="24"/>
          <w:szCs w:val="24"/>
          <w:rtl/>
          <w:lang w:bidi="ar-LB"/>
        </w:rPr>
      </w:pPr>
      <w:r w:rsidRPr="00CC6F22">
        <w:rPr>
          <w:rStyle w:val="Rimandonotaapidipagina"/>
          <w:rFonts w:ascii="Simplified Arabic" w:hAnsi="Simplified Arabic" w:cs="Simplified Arabic"/>
          <w:sz w:val="24"/>
          <w:szCs w:val="24"/>
        </w:rPr>
        <w:footnoteRef/>
      </w:r>
      <w:r w:rsidRPr="00CC6F22">
        <w:rPr>
          <w:rFonts w:ascii="Simplified Arabic" w:hAnsi="Simplified Arabic" w:cs="Simplified Arabic"/>
          <w:sz w:val="24"/>
          <w:szCs w:val="24"/>
        </w:rPr>
        <w:t xml:space="preserve"> </w:t>
      </w:r>
      <w:r w:rsidRPr="00CC6F22">
        <w:rPr>
          <w:rFonts w:ascii="Simplified Arabic" w:hAnsi="Simplified Arabic" w:cs="Simplified Arabic"/>
          <w:sz w:val="24"/>
          <w:szCs w:val="24"/>
          <w:rtl/>
          <w:lang w:bidi="ar-LB"/>
        </w:rPr>
        <w:t>ق 1309 وما يليه من الشرع العام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2E"/>
    <w:rsid w:val="000E3DCC"/>
    <w:rsid w:val="009E7D2E"/>
  </w:rsids>
  <m:mathPr>
    <m:mathFont m:val="Cambria Math"/>
    <m:brkBin m:val="before"/>
    <m:brkBinSub m:val="--"/>
    <m:smallFrac m:val="0"/>
    <m:dispDef/>
    <m:lMargin m:val="0"/>
    <m:rMargin m:val="0"/>
    <m:defJc m:val="centerGroup"/>
    <m:wrapIndent m:val="1440"/>
    <m:intLim m:val="subSup"/>
    <m:naryLim m:val="undOvr"/>
  </m:mathPr>
  <w:themeFontLang w:val="it-EG" w:bidi="ar-SA"/>
  <w:clrSchemeMapping w:bg1="light1" w:t1="dark1" w:bg2="light2" w:t2="dark2" w:accent1="accent1" w:accent2="accent2" w:accent3="accent3" w:accent4="accent4" w:accent5="accent5" w:accent6="accent6" w:hyperlink="hyperlink" w:followedHyperlink="followedHyperlink"/>
  <w:decimalSymbol w:val="."/>
  <w:listSeparator w:val=";"/>
  <w14:docId w14:val="1584325A"/>
  <w15:chartTrackingRefBased/>
  <w15:docId w15:val="{70F8E315-71FB-AD46-BC10-DDE1807C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D2E"/>
    <w:pPr>
      <w:spacing w:before="240" w:after="240" w:line="320" w:lineRule="exact"/>
      <w:ind w:firstLine="284"/>
    </w:pPr>
    <w:rPr>
      <w:rFonts w:ascii="Times New Roman" w:eastAsia="Calibri" w:hAnsi="Times New Roman" w:cs="Times New Roman"/>
      <w:kern w:val="0"/>
      <w:sz w:val="28"/>
      <w:szCs w:val="28"/>
      <w:lang w:val="it-IT"/>
      <w14:ligatures w14:val="none"/>
    </w:rPr>
  </w:style>
  <w:style w:type="paragraph" w:styleId="Titolo2">
    <w:name w:val="heading 2"/>
    <w:basedOn w:val="Normale"/>
    <w:next w:val="Normale"/>
    <w:link w:val="Titolo2Carattere"/>
    <w:uiPriority w:val="9"/>
    <w:unhideWhenUsed/>
    <w:qFormat/>
    <w:rsid w:val="009E7D2E"/>
    <w:pPr>
      <w:keepNext/>
      <w:spacing w:after="60"/>
      <w:outlineLvl w:val="1"/>
    </w:pPr>
    <w:rPr>
      <w:rFonts w:ascii="Cambria" w:eastAsia="Times New Roman" w:hAnsi="Cambria"/>
      <w:b/>
      <w:bCs/>
      <w:i/>
      <w:iCs/>
    </w:rPr>
  </w:style>
  <w:style w:type="paragraph" w:styleId="Titolo3">
    <w:name w:val="heading 3"/>
    <w:basedOn w:val="Normale"/>
    <w:next w:val="Normale"/>
    <w:link w:val="Titolo3Carattere"/>
    <w:uiPriority w:val="9"/>
    <w:unhideWhenUsed/>
    <w:qFormat/>
    <w:rsid w:val="009E7D2E"/>
    <w:pPr>
      <w:keepNext/>
      <w:spacing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E7D2E"/>
    <w:rPr>
      <w:rFonts w:ascii="Cambria" w:eastAsia="Times New Roman" w:hAnsi="Cambria" w:cs="Times New Roman"/>
      <w:b/>
      <w:bCs/>
      <w:i/>
      <w:iCs/>
      <w:kern w:val="0"/>
      <w:sz w:val="28"/>
      <w:szCs w:val="28"/>
      <w:lang w:val="it-IT"/>
      <w14:ligatures w14:val="none"/>
    </w:rPr>
  </w:style>
  <w:style w:type="character" w:customStyle="1" w:styleId="Titolo3Carattere">
    <w:name w:val="Titolo 3 Carattere"/>
    <w:basedOn w:val="Carpredefinitoparagrafo"/>
    <w:link w:val="Titolo3"/>
    <w:uiPriority w:val="9"/>
    <w:rsid w:val="009E7D2E"/>
    <w:rPr>
      <w:rFonts w:ascii="Cambria" w:eastAsia="Times New Roman" w:hAnsi="Cambria" w:cs="Times New Roman"/>
      <w:b/>
      <w:bCs/>
      <w:kern w:val="0"/>
      <w:sz w:val="26"/>
      <w:szCs w:val="26"/>
      <w:lang w:val="it-IT"/>
      <w14:ligatures w14:val="none"/>
    </w:rPr>
  </w:style>
  <w:style w:type="paragraph" w:styleId="Testonotaapidipagina">
    <w:name w:val="footnote text"/>
    <w:basedOn w:val="Normale"/>
    <w:link w:val="TestonotaapidipaginaCarattere"/>
    <w:uiPriority w:val="99"/>
    <w:unhideWhenUsed/>
    <w:rsid w:val="009E7D2E"/>
    <w:rPr>
      <w:sz w:val="20"/>
      <w:szCs w:val="20"/>
    </w:rPr>
  </w:style>
  <w:style w:type="character" w:customStyle="1" w:styleId="TestonotaapidipaginaCarattere">
    <w:name w:val="Testo nota a piè di pagina Carattere"/>
    <w:basedOn w:val="Carpredefinitoparagrafo"/>
    <w:link w:val="Testonotaapidipagina"/>
    <w:uiPriority w:val="99"/>
    <w:rsid w:val="009E7D2E"/>
    <w:rPr>
      <w:rFonts w:ascii="Times New Roman" w:eastAsia="Calibri" w:hAnsi="Times New Roman" w:cs="Times New Roman"/>
      <w:kern w:val="0"/>
      <w:sz w:val="20"/>
      <w:szCs w:val="20"/>
      <w:lang w:val="it-IT"/>
      <w14:ligatures w14:val="none"/>
    </w:rPr>
  </w:style>
  <w:style w:type="character" w:styleId="Rimandonotaapidipagina">
    <w:name w:val="footnote reference"/>
    <w:uiPriority w:val="99"/>
    <w:semiHidden/>
    <w:unhideWhenUsed/>
    <w:rsid w:val="009E7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Bakhoum</dc:creator>
  <cp:keywords/>
  <dc:description/>
  <cp:lastModifiedBy>Hany Bakhoum</cp:lastModifiedBy>
  <cp:revision>1</cp:revision>
  <dcterms:created xsi:type="dcterms:W3CDTF">2023-12-17T10:03:00Z</dcterms:created>
  <dcterms:modified xsi:type="dcterms:W3CDTF">2023-12-17T10:12:00Z</dcterms:modified>
</cp:coreProperties>
</file>